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DFF" w:rsidRDefault="00F14DFF" w:rsidP="00F14DFF">
      <w:pPr>
        <w:spacing w:after="0" w:line="240" w:lineRule="auto"/>
        <w:jc w:val="center"/>
        <w:rPr>
          <w:rFonts w:ascii="Times New Roman" w:hAnsi="Times New Roman" w:cs="Times New Roman"/>
        </w:rPr>
      </w:pPr>
      <w:r>
        <w:rPr>
          <w:rFonts w:ascii="Times New Roman" w:hAnsi="Times New Roman" w:cs="Times New Roman"/>
          <w:b/>
          <w:bCs/>
          <w:sz w:val="24"/>
          <w:szCs w:val="24"/>
        </w:rPr>
        <w:t>Паспорт муниципальной Программы</w:t>
      </w:r>
    </w:p>
    <w:p w:rsidR="00F14DFF" w:rsidRDefault="00F14DFF" w:rsidP="00F14DFF">
      <w:pPr>
        <w:spacing w:after="0" w:line="240" w:lineRule="auto"/>
        <w:jc w:val="center"/>
        <w:rPr>
          <w:rFonts w:ascii="Times New Roman" w:hAnsi="Times New Roman" w:cs="Times New Roman"/>
        </w:rPr>
      </w:pPr>
      <w:r>
        <w:rPr>
          <w:rFonts w:ascii="Times New Roman" w:eastAsia="Times New Roman" w:hAnsi="Times New Roman" w:cs="Times New Roman"/>
          <w:b/>
          <w:bCs/>
          <w:sz w:val="24"/>
          <w:szCs w:val="24"/>
        </w:rPr>
        <w:t xml:space="preserve"> </w:t>
      </w:r>
      <w:r>
        <w:rPr>
          <w:rFonts w:ascii="Times New Roman" w:hAnsi="Times New Roman" w:cs="Times New Roman"/>
          <w:b/>
          <w:bCs/>
          <w:sz w:val="24"/>
          <w:szCs w:val="24"/>
        </w:rPr>
        <w:t>«Патриотическое воспитание детей и молодежи Новоузенского района»</w:t>
      </w:r>
    </w:p>
    <w:p w:rsidR="00F14DFF" w:rsidRDefault="00F14DFF" w:rsidP="00F14DFF">
      <w:pPr>
        <w:spacing w:after="0" w:line="240" w:lineRule="auto"/>
        <w:jc w:val="center"/>
        <w:rPr>
          <w:rFonts w:ascii="Times New Roman" w:hAnsi="Times New Roman" w:cs="Times New Roman"/>
        </w:rPr>
      </w:pPr>
      <w:r>
        <w:rPr>
          <w:rFonts w:ascii="Times New Roman" w:hAnsi="Times New Roman" w:cs="Times New Roman"/>
          <w:b/>
          <w:bCs/>
          <w:sz w:val="24"/>
          <w:szCs w:val="24"/>
        </w:rPr>
        <w:t>на 2022 – 2024 годы</w:t>
      </w:r>
    </w:p>
    <w:p w:rsidR="00F14DFF" w:rsidRDefault="00F14DFF" w:rsidP="00F14DFF">
      <w:pPr>
        <w:spacing w:after="0" w:line="240" w:lineRule="auto"/>
        <w:jc w:val="center"/>
        <w:rPr>
          <w:rFonts w:ascii="Times New Roman" w:hAnsi="Times New Roman" w:cs="Times New Roman"/>
          <w:sz w:val="28"/>
          <w:szCs w:val="28"/>
        </w:rPr>
      </w:pPr>
    </w:p>
    <w:tbl>
      <w:tblPr>
        <w:tblW w:w="9571" w:type="dxa"/>
        <w:tblLayout w:type="fixed"/>
        <w:tblLook w:val="0000"/>
      </w:tblPr>
      <w:tblGrid>
        <w:gridCol w:w="3524"/>
        <w:gridCol w:w="1514"/>
        <w:gridCol w:w="1510"/>
        <w:gridCol w:w="1505"/>
        <w:gridCol w:w="1518"/>
      </w:tblGrid>
      <w:tr w:rsidR="00F14DFF" w:rsidTr="00BB77B6">
        <w:tc>
          <w:tcPr>
            <w:tcW w:w="3524" w:type="dxa"/>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Наименование программы</w:t>
            </w:r>
          </w:p>
        </w:tc>
        <w:tc>
          <w:tcPr>
            <w:tcW w:w="6047" w:type="dxa"/>
            <w:gridSpan w:val="4"/>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Программа «Патриотическое воспитание детей и молодежи Новоузенского района на 2022-2024 годы»</w:t>
            </w:r>
          </w:p>
        </w:tc>
      </w:tr>
      <w:tr w:rsidR="00F14DFF" w:rsidTr="00BB77B6">
        <w:tc>
          <w:tcPr>
            <w:tcW w:w="3524" w:type="dxa"/>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Основание для разработки программы</w:t>
            </w:r>
          </w:p>
        </w:tc>
        <w:tc>
          <w:tcPr>
            <w:tcW w:w="6047" w:type="dxa"/>
            <w:gridSpan w:val="4"/>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jc w:val="both"/>
              <w:rPr>
                <w:rFonts w:ascii="Times New Roman" w:hAnsi="Times New Roman" w:cs="Times New Roman"/>
              </w:rPr>
            </w:pPr>
            <w:r>
              <w:rPr>
                <w:rFonts w:ascii="Times New Roman" w:hAnsi="Times New Roman" w:cs="Times New Roman"/>
              </w:rPr>
              <w:t xml:space="preserve">Постановление Правительства РФ от 26 декабря 2017 г. № 1642 «Об утверждении государственной программы Российской Федерации «Развитие образования» (с изменениями и дополнениями); Федеральный закон от 28.03.1998 г. № 53-Ф3 (ред. От 24.09.2022) «О воинской обязанности и военной службе» (с </w:t>
            </w:r>
            <w:proofErr w:type="spellStart"/>
            <w:r>
              <w:rPr>
                <w:rFonts w:ascii="Times New Roman" w:hAnsi="Times New Roman" w:cs="Times New Roman"/>
              </w:rPr>
              <w:t>изм</w:t>
            </w:r>
            <w:proofErr w:type="spellEnd"/>
            <w:r>
              <w:rPr>
                <w:rFonts w:ascii="Times New Roman" w:hAnsi="Times New Roman" w:cs="Times New Roman"/>
              </w:rPr>
              <w:t>.  и доп</w:t>
            </w:r>
            <w:proofErr w:type="gramStart"/>
            <w:r>
              <w:rPr>
                <w:rFonts w:ascii="Times New Roman" w:hAnsi="Times New Roman" w:cs="Times New Roman"/>
              </w:rPr>
              <w:t>.в</w:t>
            </w:r>
            <w:proofErr w:type="gramEnd"/>
            <w:r>
              <w:rPr>
                <w:rFonts w:ascii="Times New Roman" w:hAnsi="Times New Roman" w:cs="Times New Roman"/>
              </w:rPr>
              <w:t xml:space="preserve">ступ.в силу с 13.10.2022 г.); </w:t>
            </w:r>
            <w:proofErr w:type="gramStart"/>
            <w:r>
              <w:rPr>
                <w:rFonts w:ascii="Times New Roman" w:hAnsi="Times New Roman" w:cs="Times New Roman"/>
              </w:rPr>
              <w:t>Приказ Министерства обороны РФ и министерства образования и науки РФ от 24.02.2010 г. № 96\134 «Об утверждении по Инструкции об организации обучения граждан РФ начального знания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w:t>
            </w:r>
            <w:proofErr w:type="gramEnd"/>
          </w:p>
        </w:tc>
      </w:tr>
      <w:tr w:rsidR="00F14DFF" w:rsidTr="00BB77B6">
        <w:tc>
          <w:tcPr>
            <w:tcW w:w="3524" w:type="dxa"/>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Ответственный исполнитель муниципальной программы</w:t>
            </w:r>
          </w:p>
        </w:tc>
        <w:tc>
          <w:tcPr>
            <w:tcW w:w="6047" w:type="dxa"/>
            <w:gridSpan w:val="4"/>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Отдел культуры, кино, молодежной политики, спорта и туризма администрации Новоузенского муниципального района</w:t>
            </w:r>
          </w:p>
        </w:tc>
      </w:tr>
      <w:tr w:rsidR="00F14DFF" w:rsidTr="00BB77B6">
        <w:tc>
          <w:tcPr>
            <w:tcW w:w="3524" w:type="dxa"/>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Соисполнители программы</w:t>
            </w:r>
          </w:p>
        </w:tc>
        <w:tc>
          <w:tcPr>
            <w:tcW w:w="6047" w:type="dxa"/>
            <w:gridSpan w:val="4"/>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w:t>
            </w:r>
          </w:p>
        </w:tc>
      </w:tr>
      <w:tr w:rsidR="00F14DFF" w:rsidTr="00BB77B6">
        <w:tc>
          <w:tcPr>
            <w:tcW w:w="3524" w:type="dxa"/>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Участники муниципальной программы</w:t>
            </w:r>
          </w:p>
        </w:tc>
        <w:tc>
          <w:tcPr>
            <w:tcW w:w="6047" w:type="dxa"/>
            <w:gridSpan w:val="4"/>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color w:val="000000"/>
              </w:rPr>
              <w:t>Управление образования Новоузенского муниципального района, учреждения образования Новоузенского муниципального района, пожарная часть № 49 г</w:t>
            </w:r>
            <w:proofErr w:type="gramStart"/>
            <w:r>
              <w:rPr>
                <w:rFonts w:ascii="Times New Roman" w:hAnsi="Times New Roman" w:cs="Times New Roman"/>
                <w:color w:val="000000"/>
              </w:rPr>
              <w:t>.Н</w:t>
            </w:r>
            <w:proofErr w:type="gramEnd"/>
            <w:r>
              <w:rPr>
                <w:rFonts w:ascii="Times New Roman" w:hAnsi="Times New Roman" w:cs="Times New Roman"/>
                <w:color w:val="000000"/>
              </w:rPr>
              <w:t xml:space="preserve">овоузенска, Новоузенская поисково-спасательная служба, муниципальное унитарное предприятие «Редакция газеты «Новая степь», Соборный Храм во имя великомученицы Екатерины, муниципальное бюджетное учреждение культуры «Централизованная клубная система» Новоузенского муниципального района, ГАУ СО Комплексный центр социального обслуживания населения Новоузенского муниципального района, ГАПОУ СО «Новоузенский </w:t>
            </w:r>
            <w:proofErr w:type="spellStart"/>
            <w:r>
              <w:rPr>
                <w:rFonts w:ascii="Times New Roman" w:hAnsi="Times New Roman" w:cs="Times New Roman"/>
                <w:color w:val="000000"/>
              </w:rPr>
              <w:t>агротехнологический</w:t>
            </w:r>
            <w:proofErr w:type="spellEnd"/>
            <w:r>
              <w:rPr>
                <w:rFonts w:ascii="Times New Roman" w:hAnsi="Times New Roman" w:cs="Times New Roman"/>
                <w:color w:val="000000"/>
              </w:rPr>
              <w:t xml:space="preserve"> техникум».</w:t>
            </w:r>
          </w:p>
        </w:tc>
      </w:tr>
      <w:tr w:rsidR="00F14DFF" w:rsidTr="00BB77B6">
        <w:tc>
          <w:tcPr>
            <w:tcW w:w="3524" w:type="dxa"/>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Подпрограммы муниципальной программы</w:t>
            </w:r>
          </w:p>
        </w:tc>
        <w:tc>
          <w:tcPr>
            <w:tcW w:w="6047" w:type="dxa"/>
            <w:gridSpan w:val="4"/>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color w:val="000000"/>
              </w:rPr>
              <w:t>-</w:t>
            </w:r>
          </w:p>
        </w:tc>
      </w:tr>
      <w:tr w:rsidR="00F14DFF" w:rsidTr="00BB77B6">
        <w:tc>
          <w:tcPr>
            <w:tcW w:w="3524" w:type="dxa"/>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Цели муниципальной программы</w:t>
            </w:r>
          </w:p>
        </w:tc>
        <w:tc>
          <w:tcPr>
            <w:tcW w:w="6047" w:type="dxa"/>
            <w:gridSpan w:val="4"/>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jc w:val="both"/>
              <w:rPr>
                <w:rFonts w:ascii="Times New Roman" w:hAnsi="Times New Roman" w:cs="Times New Roman"/>
              </w:rPr>
            </w:pPr>
            <w:r>
              <w:rPr>
                <w:rFonts w:ascii="Times New Roman" w:hAnsi="Times New Roman" w:cs="Times New Roman"/>
                <w:bCs/>
              </w:rPr>
              <w:t>Вовлечение</w:t>
            </w:r>
            <w:r>
              <w:rPr>
                <w:rFonts w:ascii="Times New Roman" w:hAnsi="Times New Roman" w:cs="Times New Roman"/>
              </w:rPr>
              <w:t xml:space="preserve"> граждан и молодежи допризывной подготовки  </w:t>
            </w:r>
            <w:r>
              <w:rPr>
                <w:rFonts w:ascii="Times New Roman" w:hAnsi="Times New Roman" w:cs="Times New Roman"/>
                <w:bCs/>
              </w:rPr>
              <w:t xml:space="preserve">в систему </w:t>
            </w:r>
            <w:r>
              <w:rPr>
                <w:rFonts w:ascii="Times New Roman" w:hAnsi="Times New Roman" w:cs="Times New Roman"/>
              </w:rPr>
              <w:t xml:space="preserve"> патриотического воспитания</w:t>
            </w:r>
          </w:p>
        </w:tc>
      </w:tr>
      <w:tr w:rsidR="00F14DFF" w:rsidTr="00BB77B6">
        <w:tc>
          <w:tcPr>
            <w:tcW w:w="3524" w:type="dxa"/>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Задачи муниципальной программы</w:t>
            </w:r>
          </w:p>
        </w:tc>
        <w:tc>
          <w:tcPr>
            <w:tcW w:w="6047" w:type="dxa"/>
            <w:gridSpan w:val="4"/>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 xml:space="preserve"> Воспитание патриотизма, уважения к историческому и культурному прошлому России и Вооруженным Силам РФ;</w:t>
            </w:r>
          </w:p>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 xml:space="preserve"> -повышение качества обучения молодежи основам военной подготовки с использованием материально-технической и спортивной базы образовательных учреждений, а также учреждений и клубов патриотической направленности.</w:t>
            </w:r>
          </w:p>
        </w:tc>
      </w:tr>
      <w:tr w:rsidR="00F14DFF" w:rsidTr="00BB77B6">
        <w:tc>
          <w:tcPr>
            <w:tcW w:w="3524" w:type="dxa"/>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Ожидаемые конечные результаты  реализации программы</w:t>
            </w:r>
          </w:p>
        </w:tc>
        <w:tc>
          <w:tcPr>
            <w:tcW w:w="6047" w:type="dxa"/>
            <w:gridSpan w:val="4"/>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Ожидаемыми конечными результатами реализации Программы являются:</w:t>
            </w:r>
          </w:p>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 обеспечение координации и активизации деятельности государственных и общественных организаций по патриотическому воспитанию молодежи;</w:t>
            </w:r>
          </w:p>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 повышение качества допризывной подготовки молодежи (в том числе физическая подготовленность молодежи и подготовка по основам военной службы)</w:t>
            </w:r>
          </w:p>
        </w:tc>
      </w:tr>
      <w:tr w:rsidR="00F14DFF" w:rsidTr="00BB77B6">
        <w:tc>
          <w:tcPr>
            <w:tcW w:w="3524" w:type="dxa"/>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 xml:space="preserve">Сроки и этапы реализации </w:t>
            </w:r>
            <w:r>
              <w:rPr>
                <w:rFonts w:ascii="Times New Roman" w:hAnsi="Times New Roman" w:cs="Times New Roman"/>
              </w:rPr>
              <w:lastRenderedPageBreak/>
              <w:t>муниципальной программы</w:t>
            </w:r>
          </w:p>
        </w:tc>
        <w:tc>
          <w:tcPr>
            <w:tcW w:w="6047" w:type="dxa"/>
            <w:gridSpan w:val="4"/>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lastRenderedPageBreak/>
              <w:t>2022-2024 гг.</w:t>
            </w:r>
          </w:p>
        </w:tc>
      </w:tr>
      <w:tr w:rsidR="00F14DFF" w:rsidTr="00BB77B6">
        <w:tc>
          <w:tcPr>
            <w:tcW w:w="352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pStyle w:val="a4"/>
              <w:widowControl w:val="0"/>
              <w:spacing w:after="0" w:line="240" w:lineRule="auto"/>
              <w:rPr>
                <w:rFonts w:ascii="Times New Roman" w:hAnsi="Times New Roman" w:cs="Times New Roman"/>
              </w:rPr>
            </w:pPr>
            <w:r>
              <w:rPr>
                <w:rFonts w:ascii="Times New Roman" w:hAnsi="Times New Roman" w:cs="Times New Roman"/>
              </w:rPr>
              <w:lastRenderedPageBreak/>
              <w:t>Объемы финансового обеспечения муниципальной программы, в том числе по годам:</w:t>
            </w:r>
          </w:p>
        </w:tc>
        <w:tc>
          <w:tcPr>
            <w:tcW w:w="6047" w:type="dxa"/>
            <w:gridSpan w:val="4"/>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jc w:val="center"/>
              <w:rPr>
                <w:rFonts w:ascii="Times New Roman" w:hAnsi="Times New Roman" w:cs="Times New Roman"/>
              </w:rPr>
            </w:pPr>
            <w:r>
              <w:rPr>
                <w:rFonts w:ascii="Times New Roman" w:hAnsi="Times New Roman" w:cs="Times New Roman"/>
              </w:rPr>
              <w:t>Расходы (тыс. рублей)</w:t>
            </w:r>
          </w:p>
        </w:tc>
      </w:tr>
      <w:tr w:rsidR="00F14DFF" w:rsidTr="00BB77B6">
        <w:tc>
          <w:tcPr>
            <w:tcW w:w="3524" w:type="dxa"/>
            <w:vMerge/>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pStyle w:val="a4"/>
              <w:widowControl w:val="0"/>
              <w:snapToGrid w:val="0"/>
              <w:spacing w:after="0" w:line="240" w:lineRule="auto"/>
              <w:rPr>
                <w:rFonts w:ascii="Times New Roman" w:hAnsi="Times New Roman" w:cs="Times New Roman"/>
              </w:rPr>
            </w:pPr>
          </w:p>
        </w:tc>
        <w:tc>
          <w:tcPr>
            <w:tcW w:w="1514"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jc w:val="center"/>
              <w:rPr>
                <w:rFonts w:ascii="Times New Roman" w:hAnsi="Times New Roman" w:cs="Times New Roman"/>
              </w:rPr>
            </w:pPr>
            <w:r>
              <w:rPr>
                <w:rFonts w:ascii="Times New Roman" w:hAnsi="Times New Roman" w:cs="Times New Roman"/>
              </w:rPr>
              <w:t>Всего</w:t>
            </w:r>
          </w:p>
        </w:tc>
        <w:tc>
          <w:tcPr>
            <w:tcW w:w="1510"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jc w:val="center"/>
              <w:rPr>
                <w:rFonts w:ascii="Times New Roman" w:hAnsi="Times New Roman" w:cs="Times New Roman"/>
              </w:rPr>
            </w:pPr>
            <w:r>
              <w:rPr>
                <w:rFonts w:ascii="Times New Roman" w:hAnsi="Times New Roman" w:cs="Times New Roman"/>
              </w:rPr>
              <w:t>2022 год</w:t>
            </w:r>
          </w:p>
        </w:tc>
        <w:tc>
          <w:tcPr>
            <w:tcW w:w="1505"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jc w:val="center"/>
              <w:rPr>
                <w:rFonts w:ascii="Times New Roman" w:hAnsi="Times New Roman" w:cs="Times New Roman"/>
              </w:rPr>
            </w:pPr>
            <w:r>
              <w:rPr>
                <w:rFonts w:ascii="Times New Roman" w:hAnsi="Times New Roman" w:cs="Times New Roman"/>
              </w:rPr>
              <w:t>2023 год</w:t>
            </w:r>
          </w:p>
        </w:tc>
        <w:tc>
          <w:tcPr>
            <w:tcW w:w="1518" w:type="dxa"/>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jc w:val="center"/>
              <w:rPr>
                <w:rFonts w:ascii="Times New Roman" w:hAnsi="Times New Roman" w:cs="Times New Roman"/>
              </w:rPr>
            </w:pPr>
            <w:r>
              <w:rPr>
                <w:rFonts w:ascii="Times New Roman" w:hAnsi="Times New Roman" w:cs="Times New Roman"/>
              </w:rPr>
              <w:t>2024 год</w:t>
            </w:r>
          </w:p>
        </w:tc>
      </w:tr>
      <w:tr w:rsidR="00F14DFF" w:rsidTr="00BB77B6">
        <w:tc>
          <w:tcPr>
            <w:tcW w:w="3524" w:type="dxa"/>
            <w:tcBorders>
              <w:left w:val="single" w:sz="4" w:space="0" w:color="000000"/>
              <w:bottom w:val="single" w:sz="4" w:space="0" w:color="000000"/>
              <w:right w:val="single" w:sz="4" w:space="0" w:color="000000"/>
            </w:tcBorders>
            <w:shd w:val="clear" w:color="auto" w:fill="auto"/>
          </w:tcPr>
          <w:p w:rsidR="00F14DFF" w:rsidRDefault="00F14DFF" w:rsidP="00BB77B6">
            <w:pPr>
              <w:pStyle w:val="a4"/>
              <w:widowControl w:val="0"/>
              <w:spacing w:after="0" w:line="240" w:lineRule="auto"/>
              <w:rPr>
                <w:rFonts w:ascii="Times New Roman" w:hAnsi="Times New Roman" w:cs="Times New Roman"/>
              </w:rPr>
            </w:pPr>
            <w:r>
              <w:rPr>
                <w:rFonts w:ascii="Times New Roman" w:hAnsi="Times New Roman" w:cs="Times New Roman"/>
              </w:rPr>
              <w:t>Всего, в том числе:</w:t>
            </w:r>
          </w:p>
        </w:tc>
        <w:tc>
          <w:tcPr>
            <w:tcW w:w="1514"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150,0</w:t>
            </w:r>
          </w:p>
        </w:tc>
        <w:tc>
          <w:tcPr>
            <w:tcW w:w="1510"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50,0</w:t>
            </w:r>
          </w:p>
        </w:tc>
        <w:tc>
          <w:tcPr>
            <w:tcW w:w="1505"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55,5</w:t>
            </w:r>
          </w:p>
        </w:tc>
        <w:tc>
          <w:tcPr>
            <w:tcW w:w="1518" w:type="dxa"/>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50,0</w:t>
            </w:r>
          </w:p>
        </w:tc>
      </w:tr>
      <w:tr w:rsidR="00F14DFF" w:rsidTr="00BB77B6">
        <w:tc>
          <w:tcPr>
            <w:tcW w:w="3524" w:type="dxa"/>
            <w:tcBorders>
              <w:left w:val="single" w:sz="4" w:space="0" w:color="000000"/>
              <w:bottom w:val="single" w:sz="4" w:space="0" w:color="000000"/>
              <w:right w:val="single" w:sz="4" w:space="0" w:color="000000"/>
            </w:tcBorders>
            <w:shd w:val="clear" w:color="auto" w:fill="auto"/>
          </w:tcPr>
          <w:p w:rsidR="00F14DFF" w:rsidRDefault="00F14DFF" w:rsidP="00BB77B6">
            <w:pPr>
              <w:pStyle w:val="a4"/>
              <w:widowControl w:val="0"/>
              <w:spacing w:after="0" w:line="240" w:lineRule="auto"/>
              <w:rPr>
                <w:rFonts w:ascii="Times New Roman" w:hAnsi="Times New Roman" w:cs="Times New Roman"/>
              </w:rPr>
            </w:pPr>
            <w:r>
              <w:rPr>
                <w:rFonts w:ascii="Times New Roman" w:hAnsi="Times New Roman" w:cs="Times New Roman"/>
              </w:rPr>
              <w:t>Местный бюджет</w:t>
            </w:r>
          </w:p>
        </w:tc>
        <w:tc>
          <w:tcPr>
            <w:tcW w:w="1514"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150,0</w:t>
            </w:r>
          </w:p>
        </w:tc>
        <w:tc>
          <w:tcPr>
            <w:tcW w:w="1510"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50,0</w:t>
            </w:r>
          </w:p>
        </w:tc>
        <w:tc>
          <w:tcPr>
            <w:tcW w:w="1505"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55,5</w:t>
            </w:r>
          </w:p>
        </w:tc>
        <w:tc>
          <w:tcPr>
            <w:tcW w:w="1518" w:type="dxa"/>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50,0</w:t>
            </w:r>
          </w:p>
        </w:tc>
      </w:tr>
      <w:tr w:rsidR="00F14DFF" w:rsidTr="00BB77B6">
        <w:tc>
          <w:tcPr>
            <w:tcW w:w="3524" w:type="dxa"/>
            <w:tcBorders>
              <w:left w:val="single" w:sz="4" w:space="0" w:color="000000"/>
              <w:bottom w:val="single" w:sz="4" w:space="0" w:color="000000"/>
              <w:right w:val="single" w:sz="4" w:space="0" w:color="000000"/>
            </w:tcBorders>
            <w:shd w:val="clear" w:color="auto" w:fill="auto"/>
          </w:tcPr>
          <w:p w:rsidR="00F14DFF" w:rsidRDefault="00F14DFF" w:rsidP="00BB77B6">
            <w:pPr>
              <w:pStyle w:val="a4"/>
              <w:widowControl w:val="0"/>
              <w:spacing w:after="0" w:line="240" w:lineRule="auto"/>
              <w:rPr>
                <w:rFonts w:ascii="Times New Roman" w:hAnsi="Times New Roman" w:cs="Times New Roman"/>
              </w:rPr>
            </w:pPr>
            <w:r>
              <w:rPr>
                <w:rFonts w:ascii="Times New Roman" w:hAnsi="Times New Roman" w:cs="Times New Roman"/>
                <w:bCs/>
                <w:color w:val="000000"/>
              </w:rPr>
              <w:t>областной бюджет (прогнозно)</w:t>
            </w:r>
          </w:p>
        </w:tc>
        <w:tc>
          <w:tcPr>
            <w:tcW w:w="1514"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0</w:t>
            </w:r>
          </w:p>
        </w:tc>
        <w:tc>
          <w:tcPr>
            <w:tcW w:w="1510"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0</w:t>
            </w:r>
          </w:p>
        </w:tc>
        <w:tc>
          <w:tcPr>
            <w:tcW w:w="1505"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0</w:t>
            </w:r>
          </w:p>
        </w:tc>
        <w:tc>
          <w:tcPr>
            <w:tcW w:w="1518" w:type="dxa"/>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0</w:t>
            </w:r>
          </w:p>
        </w:tc>
      </w:tr>
      <w:tr w:rsidR="00F14DFF" w:rsidTr="00BB77B6">
        <w:tc>
          <w:tcPr>
            <w:tcW w:w="3524" w:type="dxa"/>
            <w:tcBorders>
              <w:left w:val="single" w:sz="4" w:space="0" w:color="000000"/>
              <w:bottom w:val="single" w:sz="4" w:space="0" w:color="000000"/>
              <w:right w:val="single" w:sz="4" w:space="0" w:color="000000"/>
            </w:tcBorders>
            <w:shd w:val="clear" w:color="auto" w:fill="auto"/>
          </w:tcPr>
          <w:p w:rsidR="00F14DFF" w:rsidRDefault="00F14DFF" w:rsidP="00BB77B6">
            <w:pPr>
              <w:pStyle w:val="a4"/>
              <w:widowControl w:val="0"/>
              <w:spacing w:after="0" w:line="240" w:lineRule="auto"/>
              <w:rPr>
                <w:rFonts w:ascii="Times New Roman" w:hAnsi="Times New Roman" w:cs="Times New Roman"/>
              </w:rPr>
            </w:pPr>
            <w:r>
              <w:rPr>
                <w:rFonts w:ascii="Times New Roman" w:hAnsi="Times New Roman" w:cs="Times New Roman"/>
                <w:bCs/>
                <w:color w:val="000000"/>
              </w:rPr>
              <w:t>федеральный бюджет (прогнозно)</w:t>
            </w:r>
          </w:p>
        </w:tc>
        <w:tc>
          <w:tcPr>
            <w:tcW w:w="1514"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0</w:t>
            </w:r>
          </w:p>
        </w:tc>
        <w:tc>
          <w:tcPr>
            <w:tcW w:w="1510"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0</w:t>
            </w:r>
          </w:p>
        </w:tc>
        <w:tc>
          <w:tcPr>
            <w:tcW w:w="1505"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0</w:t>
            </w:r>
          </w:p>
        </w:tc>
        <w:tc>
          <w:tcPr>
            <w:tcW w:w="1518" w:type="dxa"/>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0</w:t>
            </w:r>
          </w:p>
        </w:tc>
      </w:tr>
      <w:tr w:rsidR="00F14DFF" w:rsidTr="00BB77B6">
        <w:trPr>
          <w:trHeight w:val="598"/>
        </w:trPr>
        <w:tc>
          <w:tcPr>
            <w:tcW w:w="3524" w:type="dxa"/>
            <w:tcBorders>
              <w:left w:val="single" w:sz="4" w:space="0" w:color="000000"/>
              <w:bottom w:val="single" w:sz="4" w:space="0" w:color="000000"/>
              <w:right w:val="single" w:sz="4" w:space="0" w:color="000000"/>
            </w:tcBorders>
            <w:shd w:val="clear" w:color="auto" w:fill="auto"/>
          </w:tcPr>
          <w:p w:rsidR="00F14DFF" w:rsidRDefault="00F14DFF" w:rsidP="00BB77B6">
            <w:pPr>
              <w:pStyle w:val="a4"/>
              <w:widowControl w:val="0"/>
              <w:spacing w:after="0" w:line="240" w:lineRule="auto"/>
              <w:rPr>
                <w:rFonts w:ascii="Times New Roman" w:hAnsi="Times New Roman" w:cs="Times New Roman"/>
              </w:rPr>
            </w:pPr>
            <w:r>
              <w:rPr>
                <w:rFonts w:ascii="Times New Roman" w:hAnsi="Times New Roman" w:cs="Times New Roman"/>
                <w:bCs/>
                <w:color w:val="000000"/>
              </w:rPr>
              <w:t>внебюджетные источники</w:t>
            </w:r>
          </w:p>
          <w:p w:rsidR="00F14DFF" w:rsidRDefault="00F14DFF" w:rsidP="00BB77B6">
            <w:pPr>
              <w:pStyle w:val="a4"/>
              <w:widowControl w:val="0"/>
              <w:spacing w:after="0" w:line="240" w:lineRule="auto"/>
              <w:rPr>
                <w:rFonts w:ascii="Times New Roman" w:hAnsi="Times New Roman" w:cs="Times New Roman"/>
              </w:rPr>
            </w:pPr>
            <w:r>
              <w:rPr>
                <w:rFonts w:ascii="Times New Roman" w:hAnsi="Times New Roman" w:cs="Times New Roman"/>
                <w:bCs/>
                <w:color w:val="000000"/>
              </w:rPr>
              <w:t>(прогнозно)</w:t>
            </w:r>
          </w:p>
        </w:tc>
        <w:tc>
          <w:tcPr>
            <w:tcW w:w="1514"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0</w:t>
            </w:r>
          </w:p>
        </w:tc>
        <w:tc>
          <w:tcPr>
            <w:tcW w:w="1510"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0</w:t>
            </w:r>
          </w:p>
        </w:tc>
        <w:tc>
          <w:tcPr>
            <w:tcW w:w="1505" w:type="dxa"/>
            <w:tcBorders>
              <w:left w:val="single" w:sz="4" w:space="0" w:color="000000"/>
              <w:bottom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0</w:t>
            </w:r>
          </w:p>
        </w:tc>
        <w:tc>
          <w:tcPr>
            <w:tcW w:w="1518" w:type="dxa"/>
            <w:tcBorders>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0</w:t>
            </w:r>
          </w:p>
        </w:tc>
      </w:tr>
      <w:tr w:rsidR="00F14DFF" w:rsidTr="00BB77B6">
        <w:tc>
          <w:tcPr>
            <w:tcW w:w="3524" w:type="dxa"/>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rPr>
              <w:t>Целевые показатели муниципальной программы (индикаторы)</w:t>
            </w:r>
          </w:p>
        </w:tc>
        <w:tc>
          <w:tcPr>
            <w:tcW w:w="6047" w:type="dxa"/>
            <w:gridSpan w:val="4"/>
            <w:tcBorders>
              <w:top w:val="single" w:sz="4" w:space="0" w:color="000000"/>
              <w:left w:val="single" w:sz="4" w:space="0" w:color="000000"/>
              <w:bottom w:val="single" w:sz="4" w:space="0" w:color="000000"/>
              <w:right w:val="single" w:sz="4" w:space="0" w:color="000000"/>
            </w:tcBorders>
            <w:shd w:val="clear" w:color="auto" w:fill="auto"/>
          </w:tcPr>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color w:val="000000"/>
              </w:rPr>
              <w:t>К важнейшим оценочным показателям программы относятся:</w:t>
            </w:r>
          </w:p>
          <w:p w:rsidR="00F14DFF" w:rsidRDefault="00F14DFF" w:rsidP="00BB77B6">
            <w:pPr>
              <w:widowControl w:val="0"/>
              <w:spacing w:after="0" w:line="240" w:lineRule="auto"/>
              <w:rPr>
                <w:rFonts w:ascii="Times New Roman" w:hAnsi="Times New Roman" w:cs="Times New Roman"/>
              </w:rPr>
            </w:pPr>
            <w:r>
              <w:rPr>
                <w:rFonts w:ascii="Times New Roman" w:eastAsia="Times New Roman" w:hAnsi="Times New Roman" w:cs="Times New Roman"/>
                <w:color w:val="000000"/>
              </w:rPr>
              <w:t xml:space="preserve"> </w:t>
            </w:r>
            <w:r>
              <w:rPr>
                <w:rFonts w:ascii="Times New Roman" w:hAnsi="Times New Roman" w:cs="Times New Roman"/>
                <w:color w:val="000000"/>
              </w:rPr>
              <w:t xml:space="preserve">-увеличение количества молодых людей в возрасте от 12 до 23 лет, принимающих участие в деятельности кружков и отрядов патриотической и </w:t>
            </w:r>
            <w:proofErr w:type="spellStart"/>
            <w:proofErr w:type="gramStart"/>
            <w:r>
              <w:rPr>
                <w:rFonts w:ascii="Times New Roman" w:hAnsi="Times New Roman" w:cs="Times New Roman"/>
                <w:color w:val="000000"/>
              </w:rPr>
              <w:t>военно</w:t>
            </w:r>
            <w:proofErr w:type="spellEnd"/>
            <w:r>
              <w:rPr>
                <w:rFonts w:ascii="Times New Roman" w:hAnsi="Times New Roman" w:cs="Times New Roman"/>
                <w:color w:val="000000"/>
              </w:rPr>
              <w:t>- патриотической</w:t>
            </w:r>
            <w:proofErr w:type="gramEnd"/>
            <w:r>
              <w:rPr>
                <w:rFonts w:ascii="Times New Roman" w:hAnsi="Times New Roman" w:cs="Times New Roman"/>
                <w:color w:val="000000"/>
              </w:rPr>
              <w:t xml:space="preserve"> направленности;</w:t>
            </w:r>
          </w:p>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color w:val="000000"/>
              </w:rPr>
              <w:t xml:space="preserve">- увеличение количества молодых людей, принимающих участие в мероприятиях  </w:t>
            </w:r>
            <w:proofErr w:type="spellStart"/>
            <w:proofErr w:type="gramStart"/>
            <w:r>
              <w:rPr>
                <w:rFonts w:ascii="Times New Roman" w:hAnsi="Times New Roman" w:cs="Times New Roman"/>
                <w:color w:val="000000"/>
              </w:rPr>
              <w:t>военно</w:t>
            </w:r>
            <w:proofErr w:type="spellEnd"/>
            <w:r>
              <w:rPr>
                <w:rFonts w:ascii="Times New Roman" w:hAnsi="Times New Roman" w:cs="Times New Roman"/>
                <w:color w:val="000000"/>
              </w:rPr>
              <w:t xml:space="preserve"> – патриотической</w:t>
            </w:r>
            <w:proofErr w:type="gramEnd"/>
            <w:r>
              <w:rPr>
                <w:rFonts w:ascii="Times New Roman" w:hAnsi="Times New Roman" w:cs="Times New Roman"/>
                <w:color w:val="000000"/>
              </w:rPr>
              <w:t xml:space="preserve"> направленности;</w:t>
            </w:r>
          </w:p>
          <w:p w:rsidR="00F14DFF" w:rsidRDefault="00F14DFF" w:rsidP="00BB77B6">
            <w:pPr>
              <w:widowControl w:val="0"/>
              <w:spacing w:after="0" w:line="240" w:lineRule="auto"/>
              <w:rPr>
                <w:rFonts w:ascii="Times New Roman" w:hAnsi="Times New Roman" w:cs="Times New Roman"/>
              </w:rPr>
            </w:pPr>
            <w:r>
              <w:rPr>
                <w:rFonts w:ascii="Times New Roman" w:hAnsi="Times New Roman" w:cs="Times New Roman"/>
                <w:color w:val="000000"/>
              </w:rPr>
              <w:t>- количество публикаций  о патриотическом воспитании в муниципальных средствах массовой информации</w:t>
            </w:r>
          </w:p>
        </w:tc>
      </w:tr>
    </w:tbl>
    <w:p w:rsidR="009D28E4" w:rsidRDefault="00F14DFF"/>
    <w:sectPr w:rsidR="009D28E4" w:rsidSect="00DA3A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14DFF"/>
    <w:rsid w:val="00A30E45"/>
    <w:rsid w:val="00B05E18"/>
    <w:rsid w:val="00DA3A01"/>
    <w:rsid w:val="00F14D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DFF"/>
    <w:pPr>
      <w:suppressAutoHyphens/>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qFormat/>
    <w:rsid w:val="00F14DFF"/>
    <w:rPr>
      <w:rFonts w:eastAsiaTheme="minorEastAsia"/>
      <w:lang w:eastAsia="ru-RU"/>
    </w:rPr>
  </w:style>
  <w:style w:type="paragraph" w:styleId="a4">
    <w:name w:val="Body Text"/>
    <w:basedOn w:val="a"/>
    <w:link w:val="a3"/>
    <w:unhideWhenUsed/>
    <w:qFormat/>
    <w:rsid w:val="00F14DFF"/>
    <w:pPr>
      <w:spacing w:after="120"/>
    </w:pPr>
  </w:style>
  <w:style w:type="character" w:customStyle="1" w:styleId="1">
    <w:name w:val="Основной текст Знак1"/>
    <w:basedOn w:val="a0"/>
    <w:link w:val="a4"/>
    <w:uiPriority w:val="99"/>
    <w:semiHidden/>
    <w:rsid w:val="00F14DFF"/>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543</Words>
  <Characters>3099</Characters>
  <Application>Microsoft Office Word</Application>
  <DocSecurity>0</DocSecurity>
  <Lines>25</Lines>
  <Paragraphs>7</Paragraphs>
  <ScaleCrop>false</ScaleCrop>
  <Company>Reanimator Extreme Edition</Company>
  <LinksUpToDate>false</LinksUpToDate>
  <CharactersWithSpaces>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LomovcevaUG</dc:creator>
  <cp:lastModifiedBy>LomovcevaUG</cp:lastModifiedBy>
  <cp:revision>1</cp:revision>
  <dcterms:created xsi:type="dcterms:W3CDTF">2023-11-14T07:41:00Z</dcterms:created>
  <dcterms:modified xsi:type="dcterms:W3CDTF">2023-11-14T07:42:00Z</dcterms:modified>
</cp:coreProperties>
</file>