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F3" w:rsidRDefault="00E913F3" w:rsidP="00E913F3">
      <w:pPr>
        <w:pStyle w:val="3"/>
        <w:shd w:val="clear" w:color="auto" w:fill="auto"/>
        <w:spacing w:after="0" w:line="240" w:lineRule="auto"/>
        <w:ind w:left="200"/>
        <w:rPr>
          <w:color w:val="111111"/>
        </w:rPr>
      </w:pPr>
      <w:r>
        <w:rPr>
          <w:color w:val="111111"/>
          <w:sz w:val="24"/>
          <w:szCs w:val="24"/>
        </w:rPr>
        <w:t xml:space="preserve">Паспорт муниципальной программы </w:t>
      </w:r>
    </w:p>
    <w:p w:rsidR="00E913F3" w:rsidRDefault="00E913F3" w:rsidP="00E913F3">
      <w:pPr>
        <w:tabs>
          <w:tab w:val="left" w:pos="2900"/>
        </w:tabs>
        <w:spacing w:after="0" w:line="240" w:lineRule="auto"/>
        <w:jc w:val="center"/>
        <w:rPr>
          <w:color w:val="111111"/>
        </w:rPr>
      </w:pPr>
      <w:r>
        <w:rPr>
          <w:rFonts w:ascii="Times New Roman" w:hAnsi="Times New Roman"/>
          <w:b/>
          <w:bCs/>
          <w:color w:val="111111"/>
          <w:sz w:val="24"/>
          <w:szCs w:val="24"/>
        </w:rPr>
        <w:t xml:space="preserve">«Профилактика терроризма и экстремизма </w:t>
      </w:r>
    </w:p>
    <w:p w:rsidR="00E913F3" w:rsidRDefault="00E913F3" w:rsidP="00E913F3">
      <w:pPr>
        <w:tabs>
          <w:tab w:val="left" w:pos="2900"/>
        </w:tabs>
        <w:spacing w:after="0" w:line="240" w:lineRule="auto"/>
        <w:jc w:val="center"/>
        <w:rPr>
          <w:color w:val="111111"/>
        </w:rPr>
      </w:pPr>
      <w:proofErr w:type="gramStart"/>
      <w:r>
        <w:rPr>
          <w:rFonts w:ascii="Times New Roman" w:hAnsi="Times New Roman"/>
          <w:b/>
          <w:bCs/>
          <w:color w:val="111111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color w:val="11111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color w:val="111111"/>
          <w:sz w:val="24"/>
          <w:szCs w:val="24"/>
        </w:rPr>
        <w:t>Новоузенском</w:t>
      </w:r>
      <w:proofErr w:type="gramEnd"/>
      <w:r>
        <w:rPr>
          <w:rFonts w:ascii="Times New Roman" w:hAnsi="Times New Roman"/>
          <w:b/>
          <w:bCs/>
          <w:color w:val="111111"/>
          <w:sz w:val="24"/>
          <w:szCs w:val="24"/>
        </w:rPr>
        <w:t xml:space="preserve"> муниципальном районе </w:t>
      </w:r>
    </w:p>
    <w:p w:rsidR="00E913F3" w:rsidRDefault="00E913F3" w:rsidP="00E913F3">
      <w:pPr>
        <w:tabs>
          <w:tab w:val="left" w:pos="2900"/>
        </w:tabs>
        <w:spacing w:after="0" w:line="240" w:lineRule="auto"/>
        <w:ind w:left="200"/>
        <w:jc w:val="center"/>
        <w:rPr>
          <w:color w:val="111111"/>
        </w:rPr>
      </w:pPr>
      <w:r>
        <w:rPr>
          <w:rFonts w:ascii="Times New Roman" w:hAnsi="Times New Roman"/>
          <w:b/>
          <w:bCs/>
          <w:color w:val="111111"/>
          <w:sz w:val="24"/>
          <w:szCs w:val="24"/>
        </w:rPr>
        <w:t>Саратовской области на 202</w:t>
      </w:r>
      <w:r>
        <w:rPr>
          <w:rFonts w:ascii="Times New Roman" w:eastAsia="Calibri" w:hAnsi="Times New Roman"/>
          <w:b/>
          <w:bCs/>
          <w:color w:val="111111"/>
          <w:sz w:val="24"/>
          <w:szCs w:val="24"/>
        </w:rPr>
        <w:t>4-2026</w:t>
      </w:r>
      <w:r>
        <w:rPr>
          <w:rFonts w:ascii="Times New Roman" w:hAnsi="Times New Roman"/>
          <w:b/>
          <w:bCs/>
          <w:color w:val="111111"/>
          <w:sz w:val="24"/>
          <w:szCs w:val="24"/>
        </w:rPr>
        <w:t xml:space="preserve"> годы»</w:t>
      </w:r>
    </w:p>
    <w:p w:rsidR="00E913F3" w:rsidRDefault="00E913F3" w:rsidP="00E913F3">
      <w:pPr>
        <w:pStyle w:val="3"/>
        <w:shd w:val="clear" w:color="auto" w:fill="auto"/>
        <w:spacing w:after="0"/>
        <w:ind w:left="200"/>
        <w:rPr>
          <w:color w:val="111111"/>
          <w:sz w:val="24"/>
          <w:szCs w:val="24"/>
        </w:rPr>
      </w:pPr>
    </w:p>
    <w:tbl>
      <w:tblPr>
        <w:tblW w:w="9674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483"/>
        <w:gridCol w:w="810"/>
        <w:gridCol w:w="1427"/>
        <w:gridCol w:w="1318"/>
        <w:gridCol w:w="1318"/>
        <w:gridCol w:w="1318"/>
      </w:tblGrid>
      <w:tr w:rsidR="00E913F3" w:rsidTr="00E913F3">
        <w:trPr>
          <w:trHeight w:val="477"/>
        </w:trPr>
        <w:tc>
          <w:tcPr>
            <w:tcW w:w="3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8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numPr>
                <w:ilvl w:val="0"/>
                <w:numId w:val="1"/>
              </w:num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</w:rPr>
              <w:t>Конституция Российской Федерации;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rPr>
                <w:color w:val="111111"/>
              </w:rPr>
            </w:pPr>
            <w:r>
              <w:rPr>
                <w:rFonts w:ascii="Times New Roman" w:eastAsia="SimSun" w:hAnsi="Times New Roman" w:cs="Times New Roman"/>
                <w:color w:val="111111"/>
                <w:lang w:eastAsia="zh-CN"/>
              </w:rPr>
              <w:t xml:space="preserve">Федеральный закон от </w:t>
            </w:r>
            <w:r w:rsidRPr="00091F0A">
              <w:rPr>
                <w:rFonts w:ascii="Times New Roman" w:eastAsia="sans-serif" w:hAnsi="Times New Roman" w:cs="Times New Roman"/>
                <w:color w:val="111111"/>
                <w:lang w:eastAsia="zh-CN"/>
              </w:rPr>
              <w:t xml:space="preserve">06.10.2003 </w:t>
            </w:r>
            <w:r>
              <w:rPr>
                <w:rFonts w:ascii="Times New Roman" w:eastAsia="sans-serif" w:hAnsi="Times New Roman" w:cs="Times New Roman"/>
                <w:color w:val="111111"/>
                <w:lang w:val="en-US" w:eastAsia="zh-CN"/>
              </w:rPr>
              <w:t>No</w:t>
            </w:r>
            <w:r w:rsidRPr="00091F0A">
              <w:rPr>
                <w:rFonts w:ascii="Times New Roman" w:eastAsia="sans-serif" w:hAnsi="Times New Roman" w:cs="Times New Roman"/>
                <w:color w:val="111111"/>
                <w:lang w:eastAsia="zh-CN"/>
              </w:rPr>
              <w:t xml:space="preserve"> 131-ФЗ «Об общих принципах организации</w:t>
            </w:r>
            <w:r w:rsidRPr="00091F0A">
              <w:rPr>
                <w:rFonts w:ascii="Times New Roman" w:eastAsia="SimSun" w:hAnsi="Times New Roman" w:cs="Times New Roman"/>
                <w:color w:val="111111"/>
                <w:lang w:eastAsia="zh-CN"/>
              </w:rPr>
              <w:br/>
            </w:r>
            <w:r w:rsidRPr="00091F0A">
              <w:rPr>
                <w:rFonts w:ascii="Times New Roman" w:eastAsia="sans-serif" w:hAnsi="Times New Roman" w:cs="Times New Roman"/>
                <w:color w:val="111111"/>
                <w:lang w:eastAsia="zh-CN"/>
              </w:rPr>
              <w:t>местного самоуправления в Российской Федерации»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jc w:val="both"/>
            </w:pPr>
            <w:r w:rsidRPr="00091F0A">
              <w:rPr>
                <w:rFonts w:ascii="Times New Roman" w:eastAsia="SimSun" w:hAnsi="Times New Roman" w:cs="Times New Roman"/>
                <w:color w:val="111111"/>
                <w:lang w:eastAsia="zh-CN"/>
              </w:rPr>
              <w:t>Федеральный закон от 23 июня 2016</w:t>
            </w:r>
            <w:r>
              <w:rPr>
                <w:rFonts w:ascii="Times New Roman" w:eastAsia="SimSun" w:hAnsi="Times New Roman" w:cs="Times New Roman"/>
                <w:color w:val="111111"/>
                <w:lang w:val="en-US" w:eastAsia="zh-CN"/>
              </w:rPr>
              <w:t> </w:t>
            </w:r>
            <w:r w:rsidRPr="00091F0A">
              <w:rPr>
                <w:rFonts w:ascii="Times New Roman" w:eastAsia="SimSun" w:hAnsi="Times New Roman" w:cs="Times New Roman"/>
                <w:color w:val="111111"/>
                <w:lang w:eastAsia="zh-CN"/>
              </w:rPr>
              <w:t xml:space="preserve">г. </w:t>
            </w:r>
            <w:r>
              <w:rPr>
                <w:rFonts w:ascii="Times New Roman" w:eastAsia="SimSun" w:hAnsi="Times New Roman" w:cs="Times New Roman"/>
                <w:color w:val="111111"/>
                <w:lang w:val="en-US" w:eastAsia="zh-CN"/>
              </w:rPr>
              <w:t>N </w:t>
            </w:r>
            <w:r w:rsidRPr="00091F0A">
              <w:rPr>
                <w:rStyle w:val="a3"/>
                <w:rFonts w:ascii="Times New Roman" w:eastAsia="SimSun" w:hAnsi="Times New Roman" w:cs="Times New Roman"/>
                <w:color w:val="111111"/>
                <w:lang w:eastAsia="zh-CN"/>
              </w:rPr>
              <w:t>182</w:t>
            </w:r>
            <w:r w:rsidRPr="00091F0A">
              <w:rPr>
                <w:rFonts w:ascii="Times New Roman" w:eastAsia="SimSun" w:hAnsi="Times New Roman" w:cs="Times New Roman"/>
                <w:color w:val="111111"/>
                <w:lang w:eastAsia="zh-CN"/>
              </w:rPr>
              <w:t>-</w:t>
            </w:r>
            <w:r w:rsidRPr="00091F0A">
              <w:rPr>
                <w:rStyle w:val="a3"/>
                <w:rFonts w:ascii="Times New Roman" w:eastAsia="SimSun" w:hAnsi="Times New Roman" w:cs="Times New Roman"/>
                <w:color w:val="111111"/>
                <w:lang w:eastAsia="zh-CN"/>
              </w:rPr>
              <w:t>ФЗ</w:t>
            </w:r>
            <w:r>
              <w:rPr>
                <w:rStyle w:val="a3"/>
                <w:rFonts w:ascii="Times New Roman" w:eastAsia="SimSun" w:hAnsi="Times New Roman" w:cs="Times New Roman"/>
                <w:color w:val="111111"/>
                <w:lang w:eastAsia="zh-CN"/>
              </w:rPr>
              <w:t xml:space="preserve"> </w:t>
            </w:r>
            <w:r w:rsidRPr="00091F0A">
              <w:rPr>
                <w:rFonts w:ascii="Times New Roman" w:eastAsia="SimSun" w:hAnsi="Times New Roman" w:cs="Times New Roman"/>
                <w:color w:val="111111"/>
                <w:lang w:eastAsia="zh-CN"/>
              </w:rPr>
              <w:t>"Об основах системы профилактики правонарушений в Российской Федерации"</w:t>
            </w:r>
            <w:r>
              <w:rPr>
                <w:rFonts w:ascii="Times New Roman" w:eastAsia="SimSun" w:hAnsi="Times New Roman" w:cs="Times New Roman"/>
                <w:color w:val="111111"/>
                <w:lang w:eastAsia="zh-CN"/>
              </w:rPr>
              <w:t>.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Федеральный закон от 6 марта 2006 года  № 35- ФЗ «О противодействии терроризму»;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 xml:space="preserve">Указ Президента Российской Федерации  от 15 февраля 2006 года № 116 «О мерах противодействия терроризму»; 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Федеральный Закон от 25 июня 2002 года № 114 – ФЗ «О противодействии экстремисткой деятельности»;</w:t>
            </w:r>
          </w:p>
          <w:p w:rsidR="00E913F3" w:rsidRDefault="00E913F3" w:rsidP="007C28E8">
            <w:pPr>
              <w:numPr>
                <w:ilvl w:val="0"/>
                <w:numId w:val="1"/>
              </w:numPr>
              <w:jc w:val="both"/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lang w:eastAsia="zh-CN"/>
              </w:rPr>
              <w:t>Распоряжение Губернатора области от 2 октября 2007 года № 761–</w:t>
            </w:r>
            <w:proofErr w:type="spellStart"/>
            <w:r>
              <w:rPr>
                <w:rFonts w:ascii="Times New Roman" w:eastAsia="sans-serif" w:hAnsi="Times New Roman" w:cs="Times New Roman"/>
                <w:color w:val="111111"/>
                <w:lang w:eastAsia="zh-CN"/>
              </w:rPr>
              <w:t>р</w:t>
            </w:r>
            <w:proofErr w:type="spellEnd"/>
            <w:r>
              <w:rPr>
                <w:rFonts w:ascii="Times New Roman" w:eastAsia="sans-serif" w:hAnsi="Times New Roman" w:cs="Times New Roman"/>
                <w:color w:val="111111"/>
                <w:lang w:eastAsia="zh-CN"/>
              </w:rPr>
              <w:t xml:space="preserve"> «О создании межведомственной рабочей группы»;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pStyle w:val="3"/>
              <w:shd w:val="clear" w:color="auto" w:fill="auto"/>
              <w:spacing w:after="0" w:line="240" w:lineRule="auto"/>
              <w:jc w:val="left"/>
              <w:rPr>
                <w:color w:val="111111"/>
              </w:rPr>
            </w:pPr>
            <w:r>
              <w:rPr>
                <w:b w:val="0"/>
                <w:bCs w:val="0"/>
                <w:color w:val="111111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района;</w:t>
            </w:r>
          </w:p>
          <w:p w:rsidR="00E913F3" w:rsidRDefault="00E913F3" w:rsidP="007C28E8">
            <w:pPr>
              <w:spacing w:after="0" w:line="240" w:lineRule="auto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ГБУ СО «Новоузенский центр социальной помощи семье и детям «Семья» (по согласованию),</w:t>
            </w:r>
          </w:p>
          <w:p w:rsidR="00E913F3" w:rsidRDefault="00E913F3" w:rsidP="007C28E8">
            <w:pPr>
              <w:spacing w:after="0" w:line="240" w:lineRule="auto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МО МВД России «Новоузенский» (по согласованию),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ГУЗ СО «Новоузенская РБ», 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Управление образования администрации Новоузенского муниципального района, 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Местная общественная организация Новоузенского муниципального района «Добровольная народная дружина»,</w:t>
            </w:r>
          </w:p>
          <w:p w:rsidR="00E913F3" w:rsidRDefault="00E913F3" w:rsidP="007C28E8">
            <w:pPr>
              <w:spacing w:after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МУП ФОК «Новоузенский» Новоузенского  района.</w:t>
            </w:r>
          </w:p>
          <w:p w:rsidR="00E913F3" w:rsidRDefault="00E913F3" w:rsidP="007C28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spacing w:after="0"/>
              <w:jc w:val="both"/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- Р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>еализация  государственной политики районной профилактики терроризма и экстремизма в   Российской Федерации;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- Совершенствование системы профилактики мер антитеррористической и </w:t>
            </w:r>
            <w:proofErr w:type="spellStart"/>
            <w:r>
              <w:rPr>
                <w:rFonts w:ascii="Times New Roman" w:hAnsi="Times New Roman"/>
                <w:color w:val="111111"/>
                <w:sz w:val="24"/>
                <w:szCs w:val="24"/>
              </w:rPr>
              <w:t>антиэкстремистской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  направленности;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- Предупреждение террористических и экстремистских проявлений на территории района;</w:t>
            </w:r>
          </w:p>
          <w:p w:rsidR="00E913F3" w:rsidRDefault="00E913F3" w:rsidP="007C28E8">
            <w:pPr>
              <w:spacing w:after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- Укрепление межнационального согласия;</w:t>
            </w:r>
          </w:p>
          <w:p w:rsidR="00E913F3" w:rsidRDefault="00E913F3" w:rsidP="007C28E8">
            <w:pPr>
              <w:spacing w:after="0"/>
              <w:jc w:val="both"/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Достижение взаимопонимания и взаимного уважения в вопросах межэтнического и межкультурного сотрудничества.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lang w:eastAsia="zh-CN"/>
              </w:rPr>
              <w:t>-Повышение уровня межведомственного взаимодействия по профилактике терроризма и экстремизма;</w:t>
            </w:r>
          </w:p>
          <w:p w:rsidR="00E913F3" w:rsidRDefault="00E913F3" w:rsidP="007C28E8">
            <w:pPr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- Сведение к минимуму проявлений терроризма и экстремизма на территории района;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- Усиление антитеррористической защищённости объектов социальной сферы;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- Привлечение граждан, негосударственных структур, в том числе средства массовой информации и общественных объединений, для обеспечения максимальной эффективности деятельности по профилактике проявлений терроризма и экстремизма;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lang w:eastAsia="zh-CN"/>
              </w:rPr>
              <w:t>- Проведение воспитательной и пропагандистской работы с населением района, направленной на предупреждение террористической и экстремистской деятельности, повышение бдительности.</w:t>
            </w:r>
          </w:p>
        </w:tc>
      </w:tr>
      <w:tr w:rsidR="00E913F3" w:rsidTr="00E913F3">
        <w:trPr>
          <w:trHeight w:val="613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Ожидаемые конечные результаты реализации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jc w:val="both"/>
              <w:rPr>
                <w:color w:val="111111"/>
              </w:rPr>
            </w:pPr>
            <w:r w:rsidRPr="00091F0A"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Снижение возможности совершения террористических актов  и экстремистской деятельности на территории района, создание систему технической защиты объектов социальной сферы, образования, здравоохранения и объектов с массовым пребыванием граждан</w:t>
            </w:r>
            <w:proofErr w:type="gramStart"/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..</w:t>
            </w:r>
            <w:proofErr w:type="gramEnd"/>
          </w:p>
          <w:p w:rsidR="00E913F3" w:rsidRDefault="00E913F3" w:rsidP="007C28E8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Сроки и этапы реализации  муниципальной программы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  <w:t xml:space="preserve">2024-2026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годы: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 этап-2024 год, 2 этап-2025 год, 3 этап-2026 год.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расходы (тыс. руб.)</w:t>
            </w:r>
          </w:p>
        </w:tc>
      </w:tr>
      <w:tr w:rsidR="00E913F3" w:rsidTr="00E913F3">
        <w:trPr>
          <w:trHeight w:val="1283"/>
        </w:trPr>
        <w:tc>
          <w:tcPr>
            <w:tcW w:w="38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всего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очередной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финансовый год</w:t>
            </w:r>
          </w:p>
          <w:p w:rsidR="00E913F3" w:rsidRDefault="00E913F3" w:rsidP="007C28E8">
            <w:pPr>
              <w:rPr>
                <w:rFonts w:ascii="Times New Roman" w:hAnsi="Times New Roman"/>
                <w:color w:val="111111"/>
                <w:sz w:val="24"/>
                <w:szCs w:val="24"/>
              </w:rPr>
            </w:pP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2024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первый год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реализации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программы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2025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второй год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реализации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программы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2026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третий год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реализации</w:t>
            </w:r>
          </w:p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программы</w:t>
            </w:r>
          </w:p>
          <w:p w:rsidR="00E913F3" w:rsidRDefault="00E913F3" w:rsidP="007C28E8">
            <w:pPr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2026</w:t>
            </w:r>
          </w:p>
        </w:tc>
      </w:tr>
      <w:tr w:rsidR="00E913F3" w:rsidTr="00E913F3">
        <w:trPr>
          <w:trHeight w:val="538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бюджет района</w:t>
            </w:r>
          </w:p>
        </w:tc>
        <w:tc>
          <w:tcPr>
            <w:tcW w:w="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25,0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25,0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25,0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25,0</w:t>
            </w: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федеральный бюдже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прогнозно)</w:t>
            </w:r>
          </w:p>
        </w:tc>
        <w:tc>
          <w:tcPr>
            <w:tcW w:w="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E913F3" w:rsidTr="00E913F3">
        <w:trPr>
          <w:trHeight w:val="409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внебюджетные источники (прогнозно)</w:t>
            </w:r>
          </w:p>
        </w:tc>
        <w:tc>
          <w:tcPr>
            <w:tcW w:w="7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2224,6</w:t>
            </w:r>
          </w:p>
        </w:tc>
        <w:tc>
          <w:tcPr>
            <w:tcW w:w="13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 w:rsidR="00E913F3" w:rsidRDefault="00E913F3" w:rsidP="007C28E8">
            <w:pPr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1363,8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11111"/>
                <w:sz w:val="24"/>
                <w:szCs w:val="24"/>
              </w:rPr>
              <w:t>860,8</w:t>
            </w:r>
          </w:p>
        </w:tc>
      </w:tr>
      <w:tr w:rsidR="00E913F3" w:rsidTr="00E913F3">
        <w:trPr>
          <w:trHeight w:val="613"/>
        </w:trPr>
        <w:tc>
          <w:tcPr>
            <w:tcW w:w="38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Целевые показатели муниципальной программы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(индикаторы)</w:t>
            </w:r>
          </w:p>
        </w:tc>
        <w:tc>
          <w:tcPr>
            <w:tcW w:w="5872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eastAsia="SimSun" w:hAnsi="Times New Roman" w:cs="Times New Roman"/>
                <w:color w:val="111111"/>
                <w:sz w:val="24"/>
                <w:szCs w:val="24"/>
                <w:lang w:eastAsia="zh-CN"/>
              </w:rPr>
              <w:t xml:space="preserve">-  </w:t>
            </w:r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Проведение воспитательной и пропагандистской работы с населением района, направленной на предупреждение террористической и экстремистской деятельности, повышение бдительности.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- Информирование населения о социальной опасности терроризма и экстремизма.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eastAsia="sans-serif" w:hAnsi="Times New Roman" w:cs="Times New Roman"/>
                <w:color w:val="111111"/>
                <w:sz w:val="24"/>
                <w:szCs w:val="24"/>
                <w:lang w:eastAsia="zh-CN"/>
              </w:rPr>
              <w:t>- Охват молодежи профилактикой терроризма и экстремизма.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eastAsia="SimSun" w:hAnsi="Times New Roman" w:cs="Times New Roman"/>
                <w:color w:val="111111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Количество распространенной наглядной агитации.</w:t>
            </w:r>
          </w:p>
          <w:p w:rsidR="00E913F3" w:rsidRDefault="00E913F3" w:rsidP="007C28E8">
            <w:pPr>
              <w:spacing w:after="0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Усиление антитеррористической защищённости объектов социальной сферы</w:t>
            </w:r>
            <w:r>
              <w:rPr>
                <w:rFonts w:ascii="Times New Roman" w:eastAsia="SimSun" w:hAnsi="Times New Roman" w:cs="Times New Roman"/>
                <w:color w:val="111111"/>
                <w:sz w:val="24"/>
                <w:szCs w:val="24"/>
                <w:lang w:eastAsia="zh-CN"/>
              </w:rPr>
              <w:t>.</w:t>
            </w:r>
          </w:p>
          <w:p w:rsidR="00E913F3" w:rsidRDefault="00E913F3" w:rsidP="007C28E8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</w:tbl>
    <w:p w:rsidR="009D28E4" w:rsidRDefault="00E913F3" w:rsidP="00E913F3">
      <w:pPr>
        <w:ind w:hanging="851"/>
      </w:pPr>
    </w:p>
    <w:sectPr w:rsidR="009D28E4" w:rsidSect="00E913F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D69F8"/>
    <w:multiLevelType w:val="multilevel"/>
    <w:tmpl w:val="830873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13F3"/>
    <w:rsid w:val="00A30E45"/>
    <w:rsid w:val="00B05E18"/>
    <w:rsid w:val="00E913F3"/>
    <w:rsid w:val="00EC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3F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913F3"/>
    <w:rPr>
      <w:i/>
      <w:iCs/>
    </w:rPr>
  </w:style>
  <w:style w:type="character" w:customStyle="1" w:styleId="1">
    <w:name w:val="Основной текст1"/>
    <w:basedOn w:val="a0"/>
    <w:link w:val="3"/>
    <w:qFormat/>
    <w:rsid w:val="00E913F3"/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1"/>
    <w:qFormat/>
    <w:rsid w:val="00E913F3"/>
    <w:pPr>
      <w:widowControl w:val="0"/>
      <w:shd w:val="clear" w:color="auto" w:fill="FFFFFF"/>
      <w:spacing w:after="300" w:line="283" w:lineRule="exact"/>
      <w:jc w:val="center"/>
    </w:pPr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635</Words>
  <Characters>3621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1</cp:revision>
  <dcterms:created xsi:type="dcterms:W3CDTF">2023-11-14T07:18:00Z</dcterms:created>
  <dcterms:modified xsi:type="dcterms:W3CDTF">2023-11-14T07:21:00Z</dcterms:modified>
</cp:coreProperties>
</file>