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9ED" w:rsidRDefault="00F039ED" w:rsidP="00F039ED">
      <w:pPr>
        <w:ind w:left="5811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>Приложение № 4 к решению Собрания Новоузенского муниципального района от 21 декабря 2023 года № 665 (с изменениями от 28.12.2023 № 677, от 25.01.2024 № 679, от 29.02.2024 № 694, от 28.03.2024 № 703, от 25.04.2024 № 712)</w:t>
      </w:r>
    </w:p>
    <w:p w:rsidR="00F039ED" w:rsidRDefault="00F039ED" w:rsidP="00F039ED">
      <w:pPr>
        <w:spacing w:after="0" w:line="57" w:lineRule="atLeast"/>
      </w:pPr>
    </w:p>
    <w:p w:rsidR="00F039ED" w:rsidRDefault="00F039ED" w:rsidP="00F039ED">
      <w:pPr>
        <w:pStyle w:val="aff"/>
        <w:spacing w:beforeAutospacing="0" w:after="0" w:afterAutospacing="0"/>
        <w:jc w:val="center"/>
        <w:rPr>
          <w:rFonts w:ascii="Tempora LGC Uni" w:hAnsi="Tempora LGC Uni"/>
          <w:b/>
          <w:bCs/>
        </w:rPr>
      </w:pPr>
      <w:r>
        <w:rPr>
          <w:rFonts w:ascii="Tempora LGC Uni" w:hAnsi="Tempora LGC Uni"/>
          <w:b/>
          <w:bCs/>
        </w:rPr>
        <w:t>Распределение на 2024 год бюджетных ассигнований по разделам, подразделам,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</w:t>
      </w:r>
    </w:p>
    <w:p w:rsidR="00F039ED" w:rsidRDefault="00F039ED" w:rsidP="00F039ED">
      <w:pPr>
        <w:pStyle w:val="aff"/>
        <w:spacing w:beforeAutospacing="0" w:after="0" w:afterAutospacing="0"/>
        <w:rPr>
          <w:rFonts w:ascii="Tempora LGC Uni" w:hAnsi="Tempora LGC Uni"/>
          <w:b/>
          <w:bCs/>
        </w:rPr>
      </w:pPr>
    </w:p>
    <w:p w:rsidR="00F039ED" w:rsidRDefault="00F039ED" w:rsidP="00F039ED">
      <w:pPr>
        <w:pStyle w:val="aff"/>
        <w:spacing w:beforeAutospacing="0" w:after="0" w:afterAutospacing="0"/>
        <w:rPr>
          <w:rFonts w:ascii="Tempora LGC Uni" w:hAnsi="Tempora LGC Uni"/>
          <w:b/>
          <w:bCs/>
        </w:rPr>
      </w:pPr>
    </w:p>
    <w:p w:rsidR="00F039ED" w:rsidRDefault="00F039ED" w:rsidP="00F039ED">
      <w:pPr>
        <w:pStyle w:val="aff"/>
        <w:spacing w:beforeAutospacing="0" w:after="0" w:afterAutospacing="0"/>
        <w:jc w:val="right"/>
        <w:rPr>
          <w:rFonts w:ascii="Tempora LGC Uni" w:hAnsi="Tempora LGC Uni"/>
          <w:sz w:val="20"/>
          <w:szCs w:val="20"/>
        </w:rPr>
      </w:pPr>
      <w:r>
        <w:rPr>
          <w:rFonts w:ascii="Tempora LGC Uni" w:hAnsi="Tempora LGC Uni"/>
          <w:sz w:val="20"/>
          <w:szCs w:val="20"/>
        </w:rPr>
        <w:t>Тыс.рублей</w:t>
      </w:r>
    </w:p>
    <w:p w:rsidR="00F039ED" w:rsidRDefault="00F039ED" w:rsidP="00F039ED">
      <w:pPr>
        <w:spacing w:line="240" w:lineRule="auto"/>
        <w:jc w:val="right"/>
        <w:rPr>
          <w:rFonts w:ascii="Tempora LGC Uni" w:hAnsi="Tempora LGC Uni"/>
          <w:highlight w:val="yellow"/>
        </w:rPr>
      </w:pPr>
      <w:r>
        <w:rPr>
          <w:rFonts w:ascii="Tempora LGC Uni" w:hAnsi="Tempora LGC Uni"/>
        </w:rPr>
        <w:t xml:space="preserve"> </w:t>
      </w:r>
    </w:p>
    <w:tbl>
      <w:tblPr>
        <w:tblStyle w:val="aff8"/>
        <w:tblW w:w="0" w:type="auto"/>
        <w:tblInd w:w="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5117"/>
        <w:gridCol w:w="709"/>
        <w:gridCol w:w="709"/>
        <w:gridCol w:w="992"/>
        <w:gridCol w:w="850"/>
        <w:gridCol w:w="709"/>
      </w:tblGrid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Под-раздел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63327,3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560,7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530,7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530,7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41934,3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3170,7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656,9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656,9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656,9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9020078760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9020078760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9020078760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38763,6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38763,6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38581,6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33317,9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33317,9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5263,7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5263,7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3,7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3,7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3,7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3,7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3,7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10359,5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1867,0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1867,0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1623,5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1623,5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1868,4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1868,4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6624,1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6624,1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6622,1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5907,4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5907,4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714,7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714,7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Резервные фонды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7655,1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6835,1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6835,1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1434,7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1207,8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1207,8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5400,4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5181,9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5181,9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218,5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218,5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9910009950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9910009950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9910009950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Мероприятия по постановке на учет бесхозных объектов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2396,0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70439,5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70239,5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25800,0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25800,0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27439,5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24609,5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24609,5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24609,5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532027188D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2277,0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532027188D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2277,0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532027188D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2277,0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53202S188D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53202S188D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53202S188D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5330109810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5330109810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5330109810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5330209820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5330209820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5330209820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3 "Приобретение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5330300000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3 "Приобретение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5330300000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5330309830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5330309830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5330309830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142,6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656045,9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154202,6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140268,0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60309,3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60309,3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60309,3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60309,3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79894,6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79894,6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79894,6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64,1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64,1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64,1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1.3 Оснащение и укрепление материально-технической базы из расчета 1000 руб. на 1 воспитанника/ обучающегося муниципального дошкольного образовательного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1952,0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1.4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9327,8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9234,4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9234,4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9234,4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2654,8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2654,8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2654,8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2654,8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395891,9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59,5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353401,3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23638,4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23638,4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23638,4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23638,4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292106,0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292106,0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292106,0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6435,7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6435,7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6435,7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14764,7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14764,7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14764,7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14436,3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14436,3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14436,3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69201S2120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69201S2120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69201S2120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5610,0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6060,6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3.10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6921800000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6921872130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6921872130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6921872130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3.7 Обеспечение условий для оснащения образовательных организаций, реализующих основные общеобразовательные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6921900000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условий для оснащения образовательных организаций, реализующих основные общеобразовательные программы, за исключением образовательных программ дошкольного образования, образовательные программы среднего профессионального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систем (в рамках достижения соответствующих задач федерального проекта)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69219A0470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69219A0470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69219A0470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обеспечение условий для создания и функционирования центров образования естественно-научной и технологической направленностей,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 xml:space="preserve"> создание и обеспечение условий функционирования центров образования естественно-научной и технологической направленностей, в образовательных учреждения, расположенных в сельской местности и малых городах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20649,9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692E151720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1832,5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692E151720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1832,5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692E151720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1832,5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4184,4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4184,4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4184,4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1840,0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1840,0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1840,0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12233,0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12233,0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12233,0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2.3 Создание условий в общеобразовательных организациях в целях выполнения задач федерального проекта «Успех каждого ребенка»; Обеспечение условий для занятия физической культурой и спортом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692E250980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692E250980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692E250980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3.3 Внедрение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7220,8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692E452130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6957,2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692E452130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6957,2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692E452130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6957,2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35736,2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24455,9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24455,9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10524,5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10524,5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10524,5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13931,4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13931,4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13931,4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2.7 Доведение уровня оплаты труда педагогов учреждения дополнительного образования детей до показателей, определенных в Указе Президента РФ от 07.05.2012 г. №597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7418,2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7344,0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7344,0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7344,0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2.8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2448,0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1414,1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14,1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14,1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14,1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1606,8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Гражданско-патриотическое и духовно-нравственное воспитание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4620110910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4620110910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4620110910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Трудоустройство старшеклассников в период каникул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"Патриотическое воспитание молодежи Новоузенского района на 2022-2024годы"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Военно-патриотическая работа с молодежью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5000010200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5000010200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5000010200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68608,4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3.5 Реализация муниципальной программы в целях выполнения задач федерального проекта «Патриотическое воспитание граждан Российской Федерации»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3750,5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3750,5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3747,9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3559,4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3559,4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188,5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188,5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62373,1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62373,1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62369,5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34571,6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34571,6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27787,0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27787,0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112225,8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81994,8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33552,9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33552,9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33552,9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33552,9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33552,9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11704,0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11704,0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11704,0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11704,0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11704,0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Комплектование книжного фонда муниципальных общедоступных библиотек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73202L5191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73202L5191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73202L5191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"Ремонт учреждений культуры и благоустройство учреждений культуры"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7330174020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7330174020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7330174020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Обеспечение сохранения показателей повышения оплаты труда отдельных категорий работников бюджетной сферы до уровня среднемесячного дохода от трудовой деятельности по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34627,9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34281,6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34281,6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34281,6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30003,8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30003,8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227,2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227,2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4003,0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1471,8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1471,8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1471,8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1442,9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1442,9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76,3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76,3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льгот по оплате коммунальных услуг медицинским и фарм. работникам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76,3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1,3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1,3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2454,9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307,1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25580,0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25580,0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лекционного материала, видеороликов, рекламной продукции на антинаркотическую тематику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Профилактика правонарушений на территории Новоузенского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и проведение физкультурных и спортивно-массовых мероприятий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275,0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275,0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275,0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275,0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275,0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«Обеспечение деятельности физкультурно-оздоровительного комплекса «Новоузенский» Новоузенского муниципального района Саратовской области на 2021-2024 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7000000011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7000000011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891,4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4678,9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4678,9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F039ED" w:rsidTr="00DC4783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rPr>
                <w:rFonts w:ascii="Arial" w:eastAsia="Arial" w:hAnsi="Arial" w:cs="Arial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039ED" w:rsidRDefault="00F039ED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939730,4</w:t>
            </w:r>
          </w:p>
        </w:tc>
      </w:tr>
    </w:tbl>
    <w:p w:rsidR="005726C4" w:rsidRDefault="005726C4"/>
    <w:sectPr w:rsidR="005726C4" w:rsidSect="00572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039ED"/>
    <w:rsid w:val="005726C4"/>
    <w:rsid w:val="00F03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9E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uiPriority w:val="9"/>
    <w:qFormat/>
    <w:rsid w:val="00F039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F039ED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semiHidden/>
    <w:unhideWhenUsed/>
    <w:qFormat/>
    <w:rsid w:val="00F039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semiHidden/>
    <w:unhideWhenUsed/>
    <w:qFormat/>
    <w:rsid w:val="00F039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uiPriority w:val="9"/>
    <w:qFormat/>
    <w:rsid w:val="00F039ED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5">
    <w:name w:val="Heading 5"/>
    <w:basedOn w:val="a"/>
    <w:uiPriority w:val="9"/>
    <w:unhideWhenUsed/>
    <w:qFormat/>
    <w:rsid w:val="00F039ED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F039ED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F039ED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qFormat/>
    <w:rsid w:val="00F039ED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semiHidden/>
    <w:unhideWhenUsed/>
    <w:qFormat/>
    <w:rsid w:val="00F039E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F039ED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F039ED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F039ED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F039ED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F039ED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F039ED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F039E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F039ED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F039ED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F039ED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F039ED"/>
    <w:rPr>
      <w:sz w:val="24"/>
      <w:szCs w:val="24"/>
    </w:rPr>
  </w:style>
  <w:style w:type="character" w:customStyle="1" w:styleId="QuoteChar">
    <w:name w:val="Quote Char"/>
    <w:uiPriority w:val="29"/>
    <w:qFormat/>
    <w:rsid w:val="00F039ED"/>
    <w:rPr>
      <w:i/>
    </w:rPr>
  </w:style>
  <w:style w:type="character" w:customStyle="1" w:styleId="IntenseQuoteChar">
    <w:name w:val="Intense Quote Char"/>
    <w:uiPriority w:val="30"/>
    <w:qFormat/>
    <w:rsid w:val="00F039ED"/>
    <w:rPr>
      <w:i/>
    </w:rPr>
  </w:style>
  <w:style w:type="character" w:customStyle="1" w:styleId="HeaderChar">
    <w:name w:val="Header Char"/>
    <w:basedOn w:val="a0"/>
    <w:uiPriority w:val="99"/>
    <w:qFormat/>
    <w:rsid w:val="00F039ED"/>
  </w:style>
  <w:style w:type="character" w:customStyle="1" w:styleId="FooterChar">
    <w:name w:val="Footer Char"/>
    <w:basedOn w:val="a0"/>
    <w:uiPriority w:val="99"/>
    <w:qFormat/>
    <w:rsid w:val="00F039ED"/>
  </w:style>
  <w:style w:type="character" w:customStyle="1" w:styleId="CaptionChar">
    <w:name w:val="Caption Char"/>
    <w:uiPriority w:val="99"/>
    <w:qFormat/>
    <w:rsid w:val="00F039ED"/>
  </w:style>
  <w:style w:type="character" w:customStyle="1" w:styleId="FootnoteTextChar">
    <w:name w:val="Footnote Text Char"/>
    <w:uiPriority w:val="99"/>
    <w:qFormat/>
    <w:rsid w:val="00F039ED"/>
    <w:rPr>
      <w:sz w:val="18"/>
    </w:rPr>
  </w:style>
  <w:style w:type="character" w:customStyle="1" w:styleId="a3">
    <w:name w:val="Символ сноски"/>
    <w:uiPriority w:val="99"/>
    <w:unhideWhenUsed/>
    <w:qFormat/>
    <w:rsid w:val="00F039ED"/>
    <w:rPr>
      <w:vertAlign w:val="superscript"/>
    </w:rPr>
  </w:style>
  <w:style w:type="character" w:styleId="a4">
    <w:name w:val="footnote reference"/>
    <w:rsid w:val="00F039ED"/>
    <w:rPr>
      <w:vertAlign w:val="superscript"/>
    </w:rPr>
  </w:style>
  <w:style w:type="character" w:customStyle="1" w:styleId="EndnoteTextChar">
    <w:name w:val="Endnote Text Char"/>
    <w:uiPriority w:val="99"/>
    <w:qFormat/>
    <w:rsid w:val="00F039ED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F039ED"/>
    <w:rPr>
      <w:vertAlign w:val="superscript"/>
    </w:rPr>
  </w:style>
  <w:style w:type="character" w:styleId="a6">
    <w:name w:val="endnote reference"/>
    <w:rsid w:val="00F039ED"/>
    <w:rPr>
      <w:vertAlign w:val="superscript"/>
    </w:rPr>
  </w:style>
  <w:style w:type="character" w:styleId="a7">
    <w:name w:val="Emphasis"/>
    <w:basedOn w:val="a0"/>
    <w:uiPriority w:val="20"/>
    <w:qFormat/>
    <w:rsid w:val="00F039ED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F039ED"/>
    <w:rPr>
      <w:color w:val="0000FF"/>
      <w:u w:val="single"/>
    </w:rPr>
  </w:style>
  <w:style w:type="character" w:styleId="a9">
    <w:name w:val="Strong"/>
    <w:basedOn w:val="a0"/>
    <w:uiPriority w:val="22"/>
    <w:qFormat/>
    <w:rsid w:val="00F039ED"/>
    <w:rPr>
      <w:b/>
      <w:bCs/>
    </w:rPr>
  </w:style>
  <w:style w:type="character" w:customStyle="1" w:styleId="10">
    <w:name w:val="Заголовок 1 Знак"/>
    <w:basedOn w:val="a0"/>
    <w:qFormat/>
    <w:rsid w:val="00F039ED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8">
    <w:name w:val="Заголовок 8 Знак"/>
    <w:basedOn w:val="a0"/>
    <w:qFormat/>
    <w:rsid w:val="00F039ED"/>
    <w:rPr>
      <w:i/>
      <w:iCs/>
      <w:sz w:val="24"/>
      <w:szCs w:val="24"/>
    </w:rPr>
  </w:style>
  <w:style w:type="character" w:customStyle="1" w:styleId="aa">
    <w:name w:val="Название Знак"/>
    <w:basedOn w:val="a0"/>
    <w:qFormat/>
    <w:rsid w:val="00F039ED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F039ED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F039ED"/>
    <w:rPr>
      <w:rFonts w:ascii="Tahoma" w:eastAsia="Calibri" w:hAnsi="Tahoma" w:cs="Tahoma"/>
      <w:sz w:val="16"/>
      <w:szCs w:val="16"/>
      <w:lang w:eastAsia="en-US"/>
    </w:rPr>
  </w:style>
  <w:style w:type="character" w:customStyle="1" w:styleId="4">
    <w:name w:val="Заголовок 4 Знак"/>
    <w:basedOn w:val="a0"/>
    <w:uiPriority w:val="9"/>
    <w:qFormat/>
    <w:rsid w:val="00F039ED"/>
    <w:rPr>
      <w:b/>
      <w:bCs/>
      <w:sz w:val="24"/>
      <w:szCs w:val="24"/>
    </w:rPr>
  </w:style>
  <w:style w:type="character" w:customStyle="1" w:styleId="2">
    <w:name w:val="Основной текст (2)_"/>
    <w:basedOn w:val="a0"/>
    <w:qFormat/>
    <w:rsid w:val="00F039ED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F039ED"/>
  </w:style>
  <w:style w:type="character" w:customStyle="1" w:styleId="20">
    <w:name w:val="Заголовок 2 Знак"/>
    <w:basedOn w:val="a0"/>
    <w:semiHidden/>
    <w:qFormat/>
    <w:rsid w:val="00F039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">
    <w:name w:val="Заголовок 3 Знак"/>
    <w:basedOn w:val="a0"/>
    <w:semiHidden/>
    <w:qFormat/>
    <w:rsid w:val="00F039E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F039ED"/>
  </w:style>
  <w:style w:type="character" w:customStyle="1" w:styleId="hl">
    <w:name w:val="hl"/>
    <w:basedOn w:val="a0"/>
    <w:qFormat/>
    <w:rsid w:val="00F039ED"/>
  </w:style>
  <w:style w:type="character" w:customStyle="1" w:styleId="prod">
    <w:name w:val="prod"/>
    <w:basedOn w:val="a0"/>
    <w:qFormat/>
    <w:rsid w:val="00F039ED"/>
  </w:style>
  <w:style w:type="character" w:customStyle="1" w:styleId="portion">
    <w:name w:val="portion"/>
    <w:basedOn w:val="a0"/>
    <w:qFormat/>
    <w:rsid w:val="00F039ED"/>
  </w:style>
  <w:style w:type="character" w:customStyle="1" w:styleId="title1">
    <w:name w:val="title1"/>
    <w:basedOn w:val="a0"/>
    <w:qFormat/>
    <w:rsid w:val="00F039ED"/>
  </w:style>
  <w:style w:type="character" w:customStyle="1" w:styleId="rcp">
    <w:name w:val="rcp"/>
    <w:basedOn w:val="a0"/>
    <w:qFormat/>
    <w:rsid w:val="00F039ED"/>
  </w:style>
  <w:style w:type="character" w:customStyle="1" w:styleId="ad">
    <w:name w:val="Абзац списка Знак"/>
    <w:uiPriority w:val="34"/>
    <w:qFormat/>
    <w:rsid w:val="00F039ED"/>
    <w:rPr>
      <w:sz w:val="28"/>
    </w:rPr>
  </w:style>
  <w:style w:type="character" w:styleId="ae">
    <w:name w:val="FollowedHyperlink"/>
    <w:rsid w:val="00F039ED"/>
    <w:rPr>
      <w:color w:val="800080"/>
      <w:u w:val="single"/>
    </w:rPr>
  </w:style>
  <w:style w:type="paragraph" w:customStyle="1" w:styleId="af">
    <w:name w:val="Заголовок"/>
    <w:basedOn w:val="a"/>
    <w:next w:val="af0"/>
    <w:qFormat/>
    <w:rsid w:val="00F039ED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0">
    <w:name w:val="Body Text"/>
    <w:basedOn w:val="a"/>
    <w:link w:val="af1"/>
    <w:rsid w:val="00F039ED"/>
    <w:pPr>
      <w:spacing w:after="140"/>
    </w:pPr>
  </w:style>
  <w:style w:type="character" w:customStyle="1" w:styleId="af1">
    <w:name w:val="Основной текст Знак"/>
    <w:basedOn w:val="a0"/>
    <w:link w:val="af0"/>
    <w:rsid w:val="00F039ED"/>
    <w:rPr>
      <w:rFonts w:ascii="Calibri" w:eastAsia="Calibri" w:hAnsi="Calibri" w:cs="Times New Roman"/>
    </w:rPr>
  </w:style>
  <w:style w:type="paragraph" w:styleId="af2">
    <w:name w:val="List"/>
    <w:basedOn w:val="af0"/>
    <w:rsid w:val="00F039ED"/>
    <w:rPr>
      <w:rFonts w:cs="Lohit Devanagari"/>
    </w:rPr>
  </w:style>
  <w:style w:type="paragraph" w:customStyle="1" w:styleId="Caption">
    <w:name w:val="Caption"/>
    <w:basedOn w:val="a"/>
    <w:qFormat/>
    <w:rsid w:val="00F039E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F039ED"/>
    <w:pPr>
      <w:spacing w:after="0" w:line="240" w:lineRule="auto"/>
      <w:ind w:left="220" w:hanging="220"/>
    </w:pPr>
  </w:style>
  <w:style w:type="paragraph" w:styleId="af3">
    <w:name w:val="index heading"/>
    <w:basedOn w:val="a"/>
    <w:qFormat/>
    <w:rsid w:val="00F039ED"/>
    <w:pPr>
      <w:suppressLineNumbers/>
    </w:pPr>
    <w:rPr>
      <w:rFonts w:cs="Lohit Devanagari"/>
    </w:rPr>
  </w:style>
  <w:style w:type="paragraph" w:styleId="21">
    <w:name w:val="Quote"/>
    <w:basedOn w:val="a"/>
    <w:link w:val="22"/>
    <w:uiPriority w:val="29"/>
    <w:qFormat/>
    <w:rsid w:val="00F039ED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F039ED"/>
    <w:rPr>
      <w:rFonts w:ascii="Calibri" w:eastAsia="Calibri" w:hAnsi="Calibri" w:cs="Times New Roman"/>
      <w:i/>
    </w:rPr>
  </w:style>
  <w:style w:type="paragraph" w:styleId="af4">
    <w:name w:val="Intense Quote"/>
    <w:basedOn w:val="a"/>
    <w:link w:val="af5"/>
    <w:uiPriority w:val="30"/>
    <w:qFormat/>
    <w:rsid w:val="00F039E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5">
    <w:name w:val="Выделенная цитата Знак"/>
    <w:basedOn w:val="a0"/>
    <w:link w:val="af4"/>
    <w:uiPriority w:val="30"/>
    <w:rsid w:val="00F039ED"/>
    <w:rPr>
      <w:rFonts w:ascii="Calibri" w:eastAsia="Calibri" w:hAnsi="Calibri" w:cs="Times New Roman"/>
      <w:i/>
      <w:shd w:val="clear" w:color="auto" w:fill="F2F2F2"/>
    </w:rPr>
  </w:style>
  <w:style w:type="paragraph" w:customStyle="1" w:styleId="af6">
    <w:name w:val="Колонтитул"/>
    <w:basedOn w:val="a"/>
    <w:qFormat/>
    <w:rsid w:val="00F039ED"/>
  </w:style>
  <w:style w:type="paragraph" w:customStyle="1" w:styleId="Header">
    <w:name w:val="Header"/>
    <w:basedOn w:val="a"/>
    <w:uiPriority w:val="99"/>
    <w:unhideWhenUsed/>
    <w:rsid w:val="00F039ED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F039ED"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link w:val="af8"/>
    <w:uiPriority w:val="99"/>
    <w:semiHidden/>
    <w:unhideWhenUsed/>
    <w:rsid w:val="00F039ED"/>
    <w:pPr>
      <w:spacing w:after="40" w:line="240" w:lineRule="auto"/>
    </w:pPr>
    <w:rPr>
      <w:sz w:val="18"/>
    </w:rPr>
  </w:style>
  <w:style w:type="character" w:customStyle="1" w:styleId="af8">
    <w:name w:val="Текст сноски Знак"/>
    <w:basedOn w:val="a0"/>
    <w:link w:val="af7"/>
    <w:uiPriority w:val="99"/>
    <w:semiHidden/>
    <w:rsid w:val="00F039ED"/>
    <w:rPr>
      <w:rFonts w:ascii="Calibri" w:eastAsia="Calibri" w:hAnsi="Calibri" w:cs="Times New Roman"/>
      <w:sz w:val="18"/>
    </w:rPr>
  </w:style>
  <w:style w:type="paragraph" w:styleId="af9">
    <w:name w:val="endnote text"/>
    <w:basedOn w:val="a"/>
    <w:link w:val="afa"/>
    <w:uiPriority w:val="99"/>
    <w:semiHidden/>
    <w:unhideWhenUsed/>
    <w:rsid w:val="00F039ED"/>
    <w:pPr>
      <w:spacing w:after="0" w:line="240" w:lineRule="auto"/>
    </w:pPr>
    <w:rPr>
      <w:sz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F039ED"/>
    <w:rPr>
      <w:rFonts w:ascii="Calibri" w:eastAsia="Calibri" w:hAnsi="Calibri" w:cs="Times New Roman"/>
      <w:sz w:val="20"/>
    </w:rPr>
  </w:style>
  <w:style w:type="paragraph" w:styleId="13">
    <w:name w:val="toc 1"/>
    <w:basedOn w:val="a"/>
    <w:uiPriority w:val="39"/>
    <w:unhideWhenUsed/>
    <w:rsid w:val="00F039ED"/>
    <w:pPr>
      <w:spacing w:after="57"/>
    </w:pPr>
  </w:style>
  <w:style w:type="paragraph" w:styleId="23">
    <w:name w:val="toc 2"/>
    <w:basedOn w:val="a"/>
    <w:uiPriority w:val="39"/>
    <w:unhideWhenUsed/>
    <w:rsid w:val="00F039ED"/>
    <w:pPr>
      <w:spacing w:after="57"/>
      <w:ind w:left="283"/>
    </w:pPr>
  </w:style>
  <w:style w:type="paragraph" w:styleId="30">
    <w:name w:val="toc 3"/>
    <w:basedOn w:val="a"/>
    <w:uiPriority w:val="39"/>
    <w:unhideWhenUsed/>
    <w:rsid w:val="00F039ED"/>
    <w:pPr>
      <w:spacing w:after="57"/>
      <w:ind w:left="567"/>
    </w:pPr>
  </w:style>
  <w:style w:type="paragraph" w:styleId="40">
    <w:name w:val="toc 4"/>
    <w:basedOn w:val="a"/>
    <w:uiPriority w:val="39"/>
    <w:unhideWhenUsed/>
    <w:rsid w:val="00F039ED"/>
    <w:pPr>
      <w:spacing w:after="57"/>
      <w:ind w:left="850"/>
    </w:pPr>
  </w:style>
  <w:style w:type="paragraph" w:styleId="5">
    <w:name w:val="toc 5"/>
    <w:basedOn w:val="a"/>
    <w:uiPriority w:val="39"/>
    <w:unhideWhenUsed/>
    <w:rsid w:val="00F039ED"/>
    <w:pPr>
      <w:spacing w:after="57"/>
      <w:ind w:left="1134"/>
    </w:pPr>
  </w:style>
  <w:style w:type="paragraph" w:styleId="6">
    <w:name w:val="toc 6"/>
    <w:basedOn w:val="a"/>
    <w:uiPriority w:val="39"/>
    <w:unhideWhenUsed/>
    <w:rsid w:val="00F039ED"/>
    <w:pPr>
      <w:spacing w:after="57"/>
      <w:ind w:left="1417"/>
    </w:pPr>
  </w:style>
  <w:style w:type="paragraph" w:styleId="7">
    <w:name w:val="toc 7"/>
    <w:basedOn w:val="a"/>
    <w:uiPriority w:val="39"/>
    <w:unhideWhenUsed/>
    <w:rsid w:val="00F039ED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F039ED"/>
    <w:pPr>
      <w:spacing w:after="57"/>
      <w:ind w:left="1984"/>
    </w:pPr>
  </w:style>
  <w:style w:type="paragraph" w:styleId="9">
    <w:name w:val="toc 9"/>
    <w:basedOn w:val="a"/>
    <w:uiPriority w:val="39"/>
    <w:unhideWhenUsed/>
    <w:rsid w:val="00F039ED"/>
    <w:pPr>
      <w:spacing w:after="57"/>
      <w:ind w:left="2268"/>
    </w:pPr>
  </w:style>
  <w:style w:type="paragraph" w:customStyle="1" w:styleId="IndexHeading">
    <w:name w:val="Index Heading"/>
    <w:basedOn w:val="af"/>
    <w:rsid w:val="00F039ED"/>
  </w:style>
  <w:style w:type="character" w:customStyle="1" w:styleId="11">
    <w:name w:val="Заголовок 1 Знак1"/>
    <w:basedOn w:val="a0"/>
    <w:link w:val="1"/>
    <w:uiPriority w:val="9"/>
    <w:rsid w:val="00F039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b">
    <w:name w:val="TOC Heading"/>
    <w:uiPriority w:val="39"/>
    <w:unhideWhenUsed/>
    <w:qFormat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</w:style>
  <w:style w:type="paragraph" w:styleId="afc">
    <w:name w:val="table of figures"/>
    <w:basedOn w:val="a"/>
    <w:uiPriority w:val="99"/>
    <w:unhideWhenUsed/>
    <w:rsid w:val="00F039ED"/>
    <w:pPr>
      <w:spacing w:after="0"/>
    </w:pPr>
  </w:style>
  <w:style w:type="paragraph" w:styleId="afd">
    <w:name w:val="Balloon Text"/>
    <w:basedOn w:val="a"/>
    <w:link w:val="14"/>
    <w:uiPriority w:val="99"/>
    <w:semiHidden/>
    <w:unhideWhenUsed/>
    <w:qFormat/>
    <w:rsid w:val="00F03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d"/>
    <w:uiPriority w:val="99"/>
    <w:semiHidden/>
    <w:rsid w:val="00F039ED"/>
    <w:rPr>
      <w:rFonts w:ascii="Tahoma" w:eastAsia="Calibri" w:hAnsi="Tahoma" w:cs="Tahoma"/>
      <w:sz w:val="16"/>
      <w:szCs w:val="16"/>
    </w:rPr>
  </w:style>
  <w:style w:type="paragraph" w:styleId="afe">
    <w:name w:val="Title"/>
    <w:basedOn w:val="a"/>
    <w:link w:val="15"/>
    <w:qFormat/>
    <w:rsid w:val="00F039ED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15">
    <w:name w:val="Название Знак1"/>
    <w:basedOn w:val="a0"/>
    <w:link w:val="afe"/>
    <w:rsid w:val="00F039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">
    <w:name w:val="Normal (Web)"/>
    <w:basedOn w:val="a"/>
    <w:uiPriority w:val="99"/>
    <w:unhideWhenUsed/>
    <w:qFormat/>
    <w:rsid w:val="00F039E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Subtitle"/>
    <w:basedOn w:val="a"/>
    <w:link w:val="16"/>
    <w:qFormat/>
    <w:rsid w:val="00F039ED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6">
    <w:name w:val="Подзаголовок Знак1"/>
    <w:basedOn w:val="a0"/>
    <w:link w:val="aff0"/>
    <w:rsid w:val="00F039ED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1">
    <w:name w:val="List Paragraph"/>
    <w:basedOn w:val="a"/>
    <w:uiPriority w:val="34"/>
    <w:qFormat/>
    <w:rsid w:val="00F039ED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2">
    <w:name w:val="No Spacing"/>
    <w:qFormat/>
    <w:rsid w:val="00F03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Title">
    <w:name w:val="ConsTitle"/>
    <w:qFormat/>
    <w:rsid w:val="00F039ED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4">
    <w:name w:val="Основной текст (2)"/>
    <w:basedOn w:val="a"/>
    <w:qFormat/>
    <w:rsid w:val="00F039ED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F039ED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F039ED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F039E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3">
    <w:name w:val="Текст документа"/>
    <w:basedOn w:val="a"/>
    <w:qFormat/>
    <w:rsid w:val="00F039ED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F039ED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4">
    <w:name w:val="Содержимое таблицы"/>
    <w:basedOn w:val="a"/>
    <w:qFormat/>
    <w:rsid w:val="00F039ED"/>
    <w:pPr>
      <w:ind w:firstLine="720"/>
    </w:pPr>
    <w:rPr>
      <w:color w:val="000000"/>
    </w:rPr>
  </w:style>
  <w:style w:type="paragraph" w:customStyle="1" w:styleId="aff5">
    <w:name w:val="Íàçâàíèå çàêîíà"/>
    <w:basedOn w:val="a"/>
    <w:qFormat/>
    <w:rsid w:val="00F039ED"/>
    <w:pPr>
      <w:spacing w:after="480"/>
      <w:jc w:val="center"/>
    </w:pPr>
    <w:rPr>
      <w:b/>
      <w:sz w:val="36"/>
    </w:rPr>
  </w:style>
  <w:style w:type="paragraph" w:customStyle="1" w:styleId="aff6">
    <w:name w:val="Òåêñò äîêóìåíòà"/>
    <w:basedOn w:val="a"/>
    <w:qFormat/>
    <w:rsid w:val="00F039ED"/>
    <w:pPr>
      <w:ind w:firstLine="720"/>
      <w:jc w:val="both"/>
    </w:pPr>
    <w:rPr>
      <w:sz w:val="28"/>
    </w:rPr>
  </w:style>
  <w:style w:type="paragraph" w:customStyle="1" w:styleId="aff7">
    <w:name w:val="Заголовок таблицы"/>
    <w:basedOn w:val="aff4"/>
    <w:qFormat/>
    <w:rsid w:val="00F039ED"/>
    <w:pPr>
      <w:suppressLineNumbers/>
      <w:jc w:val="center"/>
    </w:pPr>
    <w:rPr>
      <w:b/>
      <w:bCs/>
    </w:rPr>
  </w:style>
  <w:style w:type="table" w:styleId="aff8">
    <w:name w:val="Table Grid"/>
    <w:uiPriority w:val="5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PlainTable2">
    <w:name w:val="Plain Table 2"/>
    <w:uiPriority w:val="5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4">
    <w:name w:val="Plain Table 4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5">
    <w:name w:val="Plain Table 5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GridTable1Light">
    <w:name w:val="Grid Table 1 Light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F039E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9297</Words>
  <Characters>52993</Characters>
  <Application>Microsoft Office Word</Application>
  <DocSecurity>0</DocSecurity>
  <Lines>441</Lines>
  <Paragraphs>124</Paragraphs>
  <ScaleCrop>false</ScaleCrop>
  <Company>Reanimator Extreme Edition</Company>
  <LinksUpToDate>false</LinksUpToDate>
  <CharactersWithSpaces>62166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2024-05-08T10:44:00Z</dcterms:created>
  <dcterms:modified xsi:type="dcterms:W3CDTF">2024-05-08T10:44:00Z</dcterms:modified>
</cp:coreProperties>
</file>