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DBFCC" w14:textId="30A6B947" w:rsidR="005F1249" w:rsidRDefault="00F1201A">
      <w:pPr>
        <w:pStyle w:val="aff"/>
        <w:ind w:right="49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DC21CF" wp14:editId="67EE00E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3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80A51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LI5IA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">
                <v:stroke joinstyle="round"/>
                <o:lock v:ext="edit" selection="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0" simplePos="0" relativeHeight="251658752" behindDoc="0" locked="0" layoutInCell="1" allowOverlap="1" wp14:anchorId="0A09CCE8" wp14:editId="312D7093">
            <wp:simplePos x="0" y="0"/>
            <wp:positionH relativeFrom="column">
              <wp:posOffset>2651760</wp:posOffset>
            </wp:positionH>
            <wp:positionV relativeFrom="paragraph">
              <wp:posOffset>-112395</wp:posOffset>
            </wp:positionV>
            <wp:extent cx="654685" cy="736600"/>
            <wp:effectExtent l="0" t="0" r="0" b="0"/>
            <wp:wrapTopAndBottom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93F563" w14:textId="77777777" w:rsidR="005F1249" w:rsidRDefault="00F1201A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СОБРАНИЕ</w:t>
      </w:r>
    </w:p>
    <w:p w14:paraId="2A39AF9B" w14:textId="77777777" w:rsidR="005F1249" w:rsidRDefault="00F1201A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НОВОУЗЕНСКОГО МУНИЦИПАЛЬНОГО РАЙОНА</w:t>
      </w:r>
    </w:p>
    <w:p w14:paraId="0212A295" w14:textId="77777777" w:rsidR="005F1249" w:rsidRDefault="00F1201A">
      <w:pPr>
        <w:pBdr>
          <w:bottom w:val="single" w:sz="12" w:space="3" w:color="000000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САРАТОВСКОЙ ОБЛАСТИ</w:t>
      </w:r>
    </w:p>
    <w:p w14:paraId="1FF3D65E" w14:textId="77777777" w:rsidR="005F1249" w:rsidRDefault="00F1201A">
      <w:pPr>
        <w:pStyle w:val="aff"/>
        <w:ind w:right="49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5715" distB="5080" distL="5715" distR="5080" simplePos="0" relativeHeight="251656704" behindDoc="0" locked="0" layoutInCell="1" allowOverlap="1" wp14:anchorId="3506976E" wp14:editId="58EC24CF">
                <wp:simplePos x="0" y="0"/>
                <wp:positionH relativeFrom="column">
                  <wp:posOffset>-176530</wp:posOffset>
                </wp:positionH>
                <wp:positionV relativeFrom="paragraph">
                  <wp:posOffset>61595</wp:posOffset>
                </wp:positionV>
                <wp:extent cx="6296025" cy="9525"/>
                <wp:effectExtent l="5715" t="5715" r="5080" b="5080"/>
                <wp:wrapNone/>
                <wp:docPr id="2" name="Автофигур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296039" cy="9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C39BF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Автофигуры 3" o:spid="_x0000_s1026" type="#_x0000_t32" style="position:absolute;margin-left:-13.9pt;margin-top:4.85pt;width:495.75pt;height:.75pt;flip:y;z-index:251656704;visibility:visible;mso-wrap-style:square;mso-wrap-distance-left:.45pt;mso-wrap-distance-top:.45pt;mso-wrap-distance-right:.4pt;mso-wrap-distance-bottom:.4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"/>
            </w:pict>
          </mc:Fallback>
        </mc:AlternateContent>
      </w:r>
    </w:p>
    <w:p w14:paraId="68739C61" w14:textId="77777777" w:rsidR="005F1249" w:rsidRDefault="00F1201A">
      <w:pPr>
        <w:pStyle w:val="aff"/>
        <w:tabs>
          <w:tab w:val="left" w:pos="10063"/>
        </w:tabs>
        <w:ind w:right="-2"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ДЕВЯНОСТО ШЕСТОЕ</w:t>
      </w:r>
      <w:r>
        <w:rPr>
          <w:rFonts w:ascii="Tempora LGC Uni" w:hAnsi="Tempora LGC Uni"/>
          <w:b/>
          <w:sz w:val="28"/>
          <w:szCs w:val="28"/>
        </w:rPr>
        <w:t xml:space="preserve"> ЗАСЕДАНИЕ</w:t>
      </w:r>
    </w:p>
    <w:p w14:paraId="364329FA" w14:textId="77777777" w:rsidR="005F1249" w:rsidRDefault="005F1249">
      <w:pPr>
        <w:pStyle w:val="aff"/>
        <w:tabs>
          <w:tab w:val="left" w:pos="10063"/>
        </w:tabs>
        <w:ind w:right="-2"/>
        <w:jc w:val="center"/>
        <w:rPr>
          <w:rFonts w:ascii="Tempora LGC Uni" w:hAnsi="Tempora LGC Uni"/>
          <w:b/>
          <w:sz w:val="28"/>
          <w:szCs w:val="28"/>
        </w:rPr>
      </w:pPr>
    </w:p>
    <w:p w14:paraId="49AE3582" w14:textId="77777777" w:rsidR="005F1249" w:rsidRDefault="00F1201A">
      <w:pPr>
        <w:pStyle w:val="aff"/>
        <w:tabs>
          <w:tab w:val="left" w:pos="10063"/>
        </w:tabs>
        <w:ind w:right="-2"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РЕШЕНИЕ</w:t>
      </w:r>
    </w:p>
    <w:p w14:paraId="3B47A653" w14:textId="77777777" w:rsidR="005F1249" w:rsidRDefault="005F1249">
      <w:pPr>
        <w:spacing w:after="0"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</w:p>
    <w:p w14:paraId="46C49FC9" w14:textId="77777777" w:rsidR="005F1249" w:rsidRDefault="00F1201A">
      <w:pPr>
        <w:spacing w:after="0" w:line="240" w:lineRule="auto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от </w:t>
      </w:r>
      <w:r>
        <w:rPr>
          <w:rFonts w:ascii="Tempora LGC Uni" w:hAnsi="Tempora LGC Uni"/>
          <w:sz w:val="28"/>
          <w:szCs w:val="28"/>
        </w:rPr>
        <w:t>19</w:t>
      </w:r>
      <w:r>
        <w:rPr>
          <w:rFonts w:ascii="Tempora LGC Uni" w:hAnsi="Tempora LGC Uni"/>
          <w:sz w:val="28"/>
          <w:szCs w:val="28"/>
        </w:rPr>
        <w:t xml:space="preserve"> декаб</w:t>
      </w:r>
      <w:r>
        <w:rPr>
          <w:rFonts w:ascii="Tempora LGC Uni" w:hAnsi="Tempora LGC Uni"/>
          <w:sz w:val="28"/>
          <w:szCs w:val="28"/>
        </w:rPr>
        <w:t>ря</w:t>
      </w:r>
      <w:r>
        <w:rPr>
          <w:rFonts w:ascii="Tempora LGC Uni" w:hAnsi="Tempora LGC Uni"/>
          <w:sz w:val="28"/>
          <w:szCs w:val="28"/>
        </w:rPr>
        <w:t xml:space="preserve"> 202</w:t>
      </w:r>
      <w:r>
        <w:rPr>
          <w:rFonts w:ascii="Tempora LGC Uni" w:hAnsi="Tempora LGC Uni"/>
          <w:sz w:val="28"/>
          <w:szCs w:val="28"/>
        </w:rPr>
        <w:t>4</w:t>
      </w:r>
      <w:r>
        <w:rPr>
          <w:rFonts w:ascii="Tempora LGC Uni" w:hAnsi="Tempora LGC Uni"/>
          <w:sz w:val="28"/>
          <w:szCs w:val="28"/>
        </w:rPr>
        <w:t xml:space="preserve"> года № </w:t>
      </w:r>
      <w:r>
        <w:rPr>
          <w:rFonts w:ascii="Tempora LGC Uni" w:hAnsi="Tempora LGC Uni"/>
          <w:sz w:val="28"/>
          <w:szCs w:val="28"/>
        </w:rPr>
        <w:t>802</w:t>
      </w:r>
      <w:r>
        <w:rPr>
          <w:rFonts w:ascii="Tempora LGC Uni" w:hAnsi="Tempora LGC Uni"/>
          <w:sz w:val="28"/>
          <w:szCs w:val="28"/>
        </w:rPr>
        <w:t xml:space="preserve">                   </w:t>
      </w:r>
      <w:r>
        <w:rPr>
          <w:rFonts w:ascii="Tempora LGC Uni" w:hAnsi="Tempora LGC Uni"/>
          <w:sz w:val="28"/>
          <w:szCs w:val="28"/>
        </w:rPr>
        <w:t xml:space="preserve">                                    </w:t>
      </w:r>
      <w:r>
        <w:rPr>
          <w:rFonts w:ascii="Tempora LGC Uni" w:hAnsi="Tempora LGC Uni"/>
          <w:sz w:val="28"/>
          <w:szCs w:val="28"/>
        </w:rPr>
        <w:t>г. Новоузенск</w:t>
      </w:r>
    </w:p>
    <w:p w14:paraId="0032AF80" w14:textId="77777777" w:rsidR="005F1249" w:rsidRDefault="005F1249">
      <w:pPr>
        <w:spacing w:after="0" w:line="240" w:lineRule="auto"/>
        <w:rPr>
          <w:rFonts w:ascii="Tempora LGC Uni" w:hAnsi="Tempora LGC Uni"/>
          <w:sz w:val="28"/>
          <w:szCs w:val="28"/>
        </w:rPr>
      </w:pPr>
    </w:p>
    <w:p w14:paraId="33836DEF" w14:textId="77777777" w:rsidR="005F1249" w:rsidRDefault="00F1201A">
      <w:pPr>
        <w:spacing w:after="0" w:line="240" w:lineRule="auto"/>
        <w:jc w:val="center"/>
        <w:rPr>
          <w:rFonts w:ascii="Tempora LGC Uni" w:hAnsi="Tempora LGC Uni"/>
          <w:b/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 xml:space="preserve">(С изменениями </w:t>
      </w:r>
      <w:r>
        <w:rPr>
          <w:rFonts w:ascii="Tempora LGC Uni" w:hAnsi="Tempora LGC Uni"/>
          <w:b/>
          <w:bCs/>
          <w:sz w:val="28"/>
          <w:szCs w:val="28"/>
        </w:rPr>
        <w:t xml:space="preserve">от </w:t>
      </w:r>
      <w:r>
        <w:rPr>
          <w:rFonts w:ascii="Tempora LGC Uni" w:hAnsi="Tempora LGC Uni"/>
          <w:b/>
          <w:bCs/>
          <w:sz w:val="28"/>
          <w:szCs w:val="28"/>
        </w:rPr>
        <w:t>27</w:t>
      </w:r>
      <w:r>
        <w:rPr>
          <w:rFonts w:ascii="Tempora LGC Uni" w:hAnsi="Tempora LGC Uni"/>
          <w:b/>
          <w:bCs/>
          <w:sz w:val="28"/>
          <w:szCs w:val="28"/>
        </w:rPr>
        <w:t xml:space="preserve"> декаб</w:t>
      </w:r>
      <w:r>
        <w:rPr>
          <w:rFonts w:ascii="Tempora LGC Uni" w:hAnsi="Tempora LGC Uni"/>
          <w:b/>
          <w:bCs/>
          <w:sz w:val="28"/>
          <w:szCs w:val="28"/>
        </w:rPr>
        <w:t>ря</w:t>
      </w:r>
      <w:r>
        <w:rPr>
          <w:rFonts w:ascii="Tempora LGC Uni" w:hAnsi="Tempora LGC Uni"/>
          <w:b/>
          <w:bCs/>
          <w:sz w:val="28"/>
          <w:szCs w:val="28"/>
        </w:rPr>
        <w:t xml:space="preserve"> 202</w:t>
      </w:r>
      <w:r>
        <w:rPr>
          <w:rFonts w:ascii="Tempora LGC Uni" w:hAnsi="Tempora LGC Uni"/>
          <w:b/>
          <w:bCs/>
          <w:sz w:val="28"/>
          <w:szCs w:val="28"/>
        </w:rPr>
        <w:t>4</w:t>
      </w:r>
      <w:r>
        <w:rPr>
          <w:rFonts w:ascii="Tempora LGC Uni" w:hAnsi="Tempora LGC Uni"/>
          <w:b/>
          <w:bCs/>
          <w:sz w:val="28"/>
          <w:szCs w:val="28"/>
        </w:rPr>
        <w:t xml:space="preserve"> года № </w:t>
      </w:r>
      <w:bookmarkStart w:id="0" w:name="undefined"/>
      <w:bookmarkEnd w:id="0"/>
      <w:r>
        <w:rPr>
          <w:rFonts w:ascii="Tempora LGC Uni" w:hAnsi="Tempora LGC Uni"/>
          <w:b/>
          <w:bCs/>
          <w:sz w:val="28"/>
          <w:szCs w:val="28"/>
        </w:rPr>
        <w:t>813</w:t>
      </w:r>
      <w:r>
        <w:rPr>
          <w:rFonts w:ascii="Tempora LGC Uni" w:hAnsi="Tempora LGC Uni"/>
          <w:b/>
          <w:bCs/>
          <w:sz w:val="28"/>
          <w:szCs w:val="28"/>
        </w:rPr>
        <w:t>, от 30 января 2025 года № 815, от 31 марта 2025 года № 846, от 24 апреля 2025 года № 854, от 29 мая 2025 года № 858)</w:t>
      </w:r>
    </w:p>
    <w:p w14:paraId="541D38A6" w14:textId="77777777" w:rsidR="005F1249" w:rsidRDefault="005F1249">
      <w:pPr>
        <w:pStyle w:val="aff3"/>
        <w:spacing w:after="0"/>
        <w:jc w:val="left"/>
        <w:rPr>
          <w:rFonts w:ascii="Tempora LGC Uni" w:hAnsi="Tempora LGC Uni"/>
          <w:sz w:val="28"/>
          <w:szCs w:val="28"/>
        </w:rPr>
      </w:pPr>
    </w:p>
    <w:p w14:paraId="001323D5" w14:textId="77777777" w:rsidR="005F1249" w:rsidRDefault="00F1201A">
      <w:pPr>
        <w:pStyle w:val="aff3"/>
        <w:spacing w:after="0"/>
        <w:jc w:val="left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 бюджете Новоузенского муниципального района</w:t>
      </w:r>
    </w:p>
    <w:p w14:paraId="79524897" w14:textId="77777777" w:rsidR="005F1249" w:rsidRDefault="00F1201A">
      <w:pPr>
        <w:pStyle w:val="aff3"/>
        <w:spacing w:after="0"/>
        <w:jc w:val="left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 на 2025 год и на плановый период 2026 и 2027 годов</w:t>
      </w:r>
    </w:p>
    <w:p w14:paraId="64B7BB1F" w14:textId="77777777" w:rsidR="005F1249" w:rsidRDefault="005F1249">
      <w:pPr>
        <w:pStyle w:val="aff4"/>
        <w:rPr>
          <w:rFonts w:ascii="Tempora LGC Uni" w:hAnsi="Tempora LGC Uni"/>
          <w:szCs w:val="28"/>
        </w:rPr>
      </w:pPr>
    </w:p>
    <w:p w14:paraId="77927BE2" w14:textId="77777777" w:rsidR="005F1249" w:rsidRDefault="00F1201A">
      <w:pPr>
        <w:pStyle w:val="ConsPlusNormal"/>
        <w:ind w:firstLine="567"/>
        <w:jc w:val="both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Руководствуясь Бюджетным Ко</w:t>
      </w:r>
      <w:r>
        <w:rPr>
          <w:rFonts w:ascii="Tempora LGC Uni" w:hAnsi="Tempora LGC Uni" w:cs="Times New Roman"/>
          <w:sz w:val="28"/>
          <w:szCs w:val="28"/>
        </w:rPr>
        <w:t>дексом Российской Федерации, ст. 56 Устава Новоузенского муниципального района Саратовской области, Собрание Новоузенского муниципального района</w:t>
      </w:r>
      <w:r>
        <w:rPr>
          <w:rFonts w:ascii="Tempora LGC Uni" w:hAnsi="Tempora LGC Uni" w:cs="Times New Roman"/>
          <w:b/>
          <w:sz w:val="28"/>
          <w:szCs w:val="28"/>
        </w:rPr>
        <w:t xml:space="preserve"> РЕШИЛО</w:t>
      </w:r>
      <w:r>
        <w:rPr>
          <w:rFonts w:ascii="Tempora LGC Uni" w:hAnsi="Tempora LGC Uni" w:cs="Times New Roman"/>
          <w:sz w:val="28"/>
          <w:szCs w:val="28"/>
        </w:rPr>
        <w:t>:</w:t>
      </w:r>
    </w:p>
    <w:p w14:paraId="49A79552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pacing w:val="-6"/>
          <w:sz w:val="28"/>
          <w:szCs w:val="28"/>
        </w:rPr>
        <w:t>1. Утвердить основные характеристики бюджета Новоузенского муниципального района на 2025 год и на плано</w:t>
      </w:r>
      <w:r>
        <w:rPr>
          <w:rFonts w:ascii="Tempora LGC Uni" w:hAnsi="Tempora LGC Uni" w:cs="Times New Roman"/>
          <w:spacing w:val="-6"/>
          <w:sz w:val="28"/>
          <w:szCs w:val="28"/>
        </w:rPr>
        <w:t>вый период 2026 и 2027 годов:</w:t>
      </w:r>
    </w:p>
    <w:p w14:paraId="3D184D52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2025 год:</w:t>
      </w:r>
    </w:p>
    <w:p w14:paraId="685B1728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1) общий объем доходов в сумме 966 884,8 тыс. рублей; </w:t>
      </w:r>
    </w:p>
    <w:p w14:paraId="0994479B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2) общий объем расходов в сумме 991 541,9 тыс. рублей;</w:t>
      </w:r>
    </w:p>
    <w:p w14:paraId="188BB245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3) дефицит в сумме 24 657,1 тыс. рублей, или 13,8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</w:t>
      </w:r>
      <w:r>
        <w:rPr>
          <w:rFonts w:ascii="Tempora LGC Uni" w:hAnsi="Tempora LGC Uni" w:cs="Times New Roman"/>
          <w:sz w:val="28"/>
          <w:szCs w:val="28"/>
        </w:rPr>
        <w:t>вых доходов по дополнительным нормативам отчислений;</w:t>
      </w:r>
    </w:p>
    <w:p w14:paraId="4242B3F1" w14:textId="77777777" w:rsidR="005F1249" w:rsidRDefault="00F1201A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4) верхний предел муниципального внутреннего долга Новоузенского муниципального района на 1 января 2026 года в размере 0,0 тыс. рублей, в том числе верхний предел долга по муниципальным гарантиям в разме</w:t>
      </w:r>
      <w:r>
        <w:rPr>
          <w:rFonts w:ascii="Tempora LGC Uni" w:hAnsi="Tempora LGC Uni"/>
          <w:sz w:val="28"/>
          <w:szCs w:val="28"/>
        </w:rPr>
        <w:t>ре 0,0 тыс. рублей.</w:t>
      </w:r>
    </w:p>
    <w:p w14:paraId="13FE0B35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2026 год:</w:t>
      </w:r>
    </w:p>
    <w:p w14:paraId="14009DE3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1) общий объем доходов в сумме 886 771,2 тыс. рублей; </w:t>
      </w:r>
    </w:p>
    <w:p w14:paraId="76B5D8B1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2) общий объем расходов в сумме 886 771,2 тыс. рублей, в том числе условно утвержденные ра</w:t>
      </w:r>
      <w:r>
        <w:rPr>
          <w:rFonts w:ascii="Tempora LGC Uni" w:hAnsi="Tempora LGC Uni" w:cs="Times New Roman"/>
          <w:sz w:val="28"/>
          <w:szCs w:val="28"/>
        </w:rPr>
        <w:t>сходы в сумме 11 179,0 тыс. рублей;</w:t>
      </w:r>
    </w:p>
    <w:p w14:paraId="3946E63A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lastRenderedPageBreak/>
        <w:t>3) дефицит в сумме 0,0 тыс. рублей, или 0,0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</w:t>
      </w:r>
      <w:r>
        <w:rPr>
          <w:rFonts w:ascii="Tempora LGC Uni" w:hAnsi="Tempora LGC Uni" w:cs="Times New Roman"/>
          <w:sz w:val="28"/>
          <w:szCs w:val="28"/>
        </w:rPr>
        <w:t>ьным нормативам отчислений;</w:t>
      </w:r>
    </w:p>
    <w:p w14:paraId="6FFB1682" w14:textId="77777777" w:rsidR="005F1249" w:rsidRDefault="00F1201A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4) верхний предел муниципального внутреннего долга Новоузенского муниципального района на 1 января 2027 года в размере 0,0 тыс. рублей, в том числе верхний предел долга по муниципальным гарантиям в размере 0,0 тыс. рублей.</w:t>
      </w:r>
    </w:p>
    <w:p w14:paraId="0E9B7875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pacing w:val="-6"/>
          <w:sz w:val="28"/>
          <w:szCs w:val="28"/>
        </w:rPr>
        <w:t>Утвердить основные характеристики бюджета Новоузенского муниципального района на 2027 год:</w:t>
      </w:r>
    </w:p>
    <w:p w14:paraId="7D68E476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1) общий объем доходов в сумме 1 038 794,8 тыс. рублей; </w:t>
      </w:r>
    </w:p>
    <w:p w14:paraId="3C117968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2) общий объем расходов в сумме 1 038 794,8 тыс. рублей, в том числе условно утвержденные расходы в сумме 23</w:t>
      </w:r>
      <w:r>
        <w:rPr>
          <w:rFonts w:ascii="Tempora LGC Uni" w:hAnsi="Tempora LGC Uni" w:cs="Times New Roman"/>
          <w:sz w:val="28"/>
          <w:szCs w:val="28"/>
        </w:rPr>
        <w:t> 207,6 тыс. рублей;</w:t>
      </w:r>
    </w:p>
    <w:p w14:paraId="056B4C0C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3) дефицит в сумме 0,0 тыс. рублей, или 0,0 процента объема доходов бюджета Новоузенского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</w:t>
      </w:r>
      <w:r>
        <w:rPr>
          <w:rFonts w:ascii="Tempora LGC Uni" w:hAnsi="Tempora LGC Uni" w:cs="Times New Roman"/>
          <w:sz w:val="28"/>
          <w:szCs w:val="28"/>
        </w:rPr>
        <w:t>отчислений;</w:t>
      </w:r>
    </w:p>
    <w:p w14:paraId="005123DB" w14:textId="77777777" w:rsidR="005F1249" w:rsidRDefault="00F1201A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4) верхний предел муниципального внутреннего долга Новоузенского муниципального района на 1 января 2028 года в размере 0,0 тыс. рублей, в том числе верхний предел долга по муниципальным гарантиям в размере 0,0 тыс. рублей.</w:t>
      </w:r>
    </w:p>
    <w:p w14:paraId="43D94494" w14:textId="77777777" w:rsidR="005F1249" w:rsidRDefault="00F1201A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2. Утвердить безвозме</w:t>
      </w:r>
      <w:r>
        <w:rPr>
          <w:rFonts w:ascii="Tempora LGC Uni" w:hAnsi="Tempora LGC Uni"/>
          <w:sz w:val="28"/>
          <w:szCs w:val="28"/>
        </w:rPr>
        <w:t>здные поступления от бюджетов других уровней бюджетной системы РФ в бюджет Новоузенского муниципального района на 2025 год и на плановый период 2026 и 2027 годов согласно приложению 1.</w:t>
      </w:r>
    </w:p>
    <w:p w14:paraId="0128A834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3. Утвердить на 2025 год и на плановый период 2026 и 2027 годов:</w:t>
      </w:r>
    </w:p>
    <w:p w14:paraId="0FC98ADE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норм</w:t>
      </w:r>
      <w:r>
        <w:rPr>
          <w:rFonts w:ascii="Tempora LGC Uni" w:hAnsi="Tempora LGC Uni" w:cs="Times New Roman"/>
          <w:sz w:val="28"/>
          <w:szCs w:val="28"/>
        </w:rPr>
        <w:t xml:space="preserve">ативы распределения доходов между бюджетом Новоузенского муниципального района и бюджетами поселений </w:t>
      </w:r>
      <w:r>
        <w:rPr>
          <w:rFonts w:ascii="Tempora LGC Uni" w:hAnsi="Tempora LGC Uni" w:cs="Times New Roman"/>
          <w:bCs/>
          <w:sz w:val="28"/>
          <w:szCs w:val="28"/>
        </w:rPr>
        <w:t>на 2025 год и на плановый период 2026 и 2027 годов</w:t>
      </w:r>
      <w:r>
        <w:rPr>
          <w:rFonts w:ascii="Tempora LGC Uni" w:hAnsi="Tempora LGC Uni" w:cs="Times New Roman"/>
          <w:sz w:val="28"/>
          <w:szCs w:val="28"/>
        </w:rPr>
        <w:t xml:space="preserve"> согласно приложению 2.</w:t>
      </w:r>
    </w:p>
    <w:p w14:paraId="41E10E10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4. Установить, что информационное взаимодействие между управлением Федерального к</w:t>
      </w:r>
      <w:r>
        <w:rPr>
          <w:rFonts w:ascii="Tempora LGC Uni" w:hAnsi="Tempora LGC Uni" w:cs="Times New Roman"/>
          <w:sz w:val="28"/>
          <w:szCs w:val="28"/>
        </w:rPr>
        <w:t>азначейства по Саратовской области и администраторами доходов бюджета Новоузенского муниципального района может осуществляться через следующие уполномоченные органы:</w:t>
      </w:r>
    </w:p>
    <w:p w14:paraId="71E54F9E" w14:textId="77777777" w:rsidR="005F1249" w:rsidRDefault="00F1201A">
      <w:pPr>
        <w:pStyle w:val="ConsPlusNormal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Финансовое управление администрации Новоузенского муниципального района;</w:t>
      </w:r>
    </w:p>
    <w:p w14:paraId="052C53CB" w14:textId="77777777" w:rsidR="005F1249" w:rsidRDefault="00F1201A">
      <w:pPr>
        <w:pStyle w:val="ConsPlusNormal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Администрация</w:t>
      </w:r>
      <w:r>
        <w:rPr>
          <w:rFonts w:ascii="Tempora LGC Uni" w:hAnsi="Tempora LGC Uni" w:cs="Times New Roman"/>
          <w:sz w:val="28"/>
          <w:szCs w:val="28"/>
        </w:rPr>
        <w:t xml:space="preserve"> Новоузенского муниципального района.</w:t>
      </w:r>
    </w:p>
    <w:p w14:paraId="10973BBC" w14:textId="77777777" w:rsidR="005F1249" w:rsidRDefault="00F1201A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5. Установить, что в 2025 году в соответствии со статьей 242</w:t>
      </w:r>
      <w:r>
        <w:rPr>
          <w:rFonts w:ascii="Tempora LGC Uni" w:hAnsi="Tempora LGC Uni"/>
          <w:sz w:val="28"/>
          <w:szCs w:val="28"/>
          <w:vertAlign w:val="superscript"/>
        </w:rPr>
        <w:t>26</w:t>
      </w:r>
      <w:r>
        <w:rPr>
          <w:rFonts w:ascii="Tempora LGC Uni" w:hAnsi="Tempora LGC Uni"/>
          <w:sz w:val="28"/>
          <w:szCs w:val="28"/>
        </w:rPr>
        <w:t xml:space="preserve"> Бюджетного кодекса Российской Федерации казначейскому сопровождению подлежат следующие средства бюджета Новоузенского муниципального района:</w:t>
      </w:r>
    </w:p>
    <w:p w14:paraId="14DB5C7D" w14:textId="77777777" w:rsidR="005F1249" w:rsidRDefault="00F1201A">
      <w:pPr>
        <w:pStyle w:val="aff4"/>
        <w:ind w:firstLine="567"/>
        <w:rPr>
          <w:rFonts w:ascii="Tempora LGC Uni" w:hAnsi="Tempora LGC Uni"/>
          <w:szCs w:val="28"/>
        </w:rPr>
      </w:pPr>
      <w:r>
        <w:rPr>
          <w:rFonts w:ascii="Tempora LGC Uni" w:hAnsi="Tempora LGC Uni"/>
          <w:szCs w:val="28"/>
        </w:rPr>
        <w:t>- авансовые пл</w:t>
      </w:r>
      <w:r>
        <w:rPr>
          <w:rFonts w:ascii="Tempora LGC Uni" w:hAnsi="Tempora LGC Uni"/>
          <w:szCs w:val="28"/>
        </w:rPr>
        <w:t xml:space="preserve">атежи и расчеты по муниципальным контрактам (контрактам, договорам) о поставке товаров, выполнении работ, оказании </w:t>
      </w:r>
      <w:r>
        <w:rPr>
          <w:rFonts w:ascii="Tempora LGC Uni" w:hAnsi="Tempora LGC Uni"/>
          <w:szCs w:val="28"/>
        </w:rPr>
        <w:lastRenderedPageBreak/>
        <w:t>услуг, заключаемым на сумму 50 000,0 тыс. рублей и более в соответствии с законодательством Российской Федерации о контрактной системе в сфер</w:t>
      </w:r>
      <w:r>
        <w:rPr>
          <w:rFonts w:ascii="Tempora LGC Uni" w:hAnsi="Tempora LGC Uni"/>
          <w:szCs w:val="28"/>
        </w:rPr>
        <w:t>е закупок товаров, работ, услуг для обеспечения государственных и муниципальных нужд.</w:t>
      </w:r>
    </w:p>
    <w:p w14:paraId="3E77DBEF" w14:textId="77777777" w:rsidR="005F1249" w:rsidRDefault="00F1201A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Казначейское сопровождение средств, указанных в настоящем пункте, осуществляет Управление Федерального казначейства по Саратовской области в соответствии со статьей 220</w:t>
      </w:r>
      <w:r>
        <w:rPr>
          <w:rFonts w:ascii="Tempora LGC Uni" w:hAnsi="Tempora LGC Uni"/>
          <w:sz w:val="28"/>
          <w:szCs w:val="28"/>
          <w:vertAlign w:val="superscript"/>
        </w:rPr>
        <w:t>2</w:t>
      </w:r>
      <w:r>
        <w:rPr>
          <w:rFonts w:ascii="Tempora LGC Uni" w:hAnsi="Tempora LGC Uni"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>Бюджетного кодекса Российской Федерации.</w:t>
      </w:r>
    </w:p>
    <w:p w14:paraId="173D4654" w14:textId="77777777" w:rsidR="005F1249" w:rsidRDefault="00F1201A">
      <w:pPr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6. Утвердить размер резервного фонда администрации Новоузенского муниципального района на 2025 год в сумме </w:t>
      </w:r>
      <w:r>
        <w:rPr>
          <w:rFonts w:ascii="Tempora LGC Uni" w:hAnsi="Tempora LGC Uni"/>
          <w:sz w:val="28"/>
          <w:szCs w:val="28"/>
        </w:rPr>
        <w:t xml:space="preserve">100,0 </w:t>
      </w:r>
      <w:r>
        <w:rPr>
          <w:rFonts w:ascii="Tempora LGC Uni" w:hAnsi="Tempora LGC Uni"/>
          <w:sz w:val="28"/>
          <w:szCs w:val="28"/>
        </w:rPr>
        <w:t>тыс. рублей, на 2026 год в сумме 100,0 тыс. рублей и на 2027 год в сумме 100,0 тыс. рублей.</w:t>
      </w:r>
    </w:p>
    <w:p w14:paraId="24BFCA93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7. Утверди</w:t>
      </w:r>
      <w:r>
        <w:rPr>
          <w:rFonts w:ascii="Tempora LGC Uni" w:hAnsi="Tempora LGC Uni" w:cs="Times New Roman"/>
          <w:sz w:val="28"/>
          <w:szCs w:val="28"/>
        </w:rPr>
        <w:t>ть на 2025 год и на плановый период 2026 и 2027 годов:</w:t>
      </w:r>
    </w:p>
    <w:p w14:paraId="6CCB3CDF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общий объем бюджетных ассигнований на исполнение публичных нормативных обязательств:</w:t>
      </w:r>
    </w:p>
    <w:p w14:paraId="4BEB1E30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2025 год в сумме 4 987,8 тыс. рублей;</w:t>
      </w:r>
    </w:p>
    <w:p w14:paraId="15F1F5ED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2026 год в сумме 5 039,2 тыс. рублей;</w:t>
      </w:r>
    </w:p>
    <w:p w14:paraId="7E743A71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2027 год в сумме 5 117,6 тыс. рублей.</w:t>
      </w:r>
    </w:p>
    <w:p w14:paraId="4BF30DD7" w14:textId="77777777" w:rsidR="005F1249" w:rsidRDefault="00F1201A">
      <w:pPr>
        <w:pStyle w:val="ConsPlusNormal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объем бюджетных ассигнований муниципального дорожного фонда:</w:t>
      </w:r>
    </w:p>
    <w:p w14:paraId="4666D6A2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2025 год в сумме 57 907,5 тыс. рублей;</w:t>
      </w:r>
    </w:p>
    <w:p w14:paraId="7244E369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2026 год в сумме 59 109,8 тыс. рублей;</w:t>
      </w:r>
    </w:p>
    <w:p w14:paraId="57D515D3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2027 год в сумме 61 227,</w:t>
      </w:r>
      <w:r>
        <w:rPr>
          <w:rFonts w:ascii="Tempora LGC Uni" w:hAnsi="Tempora LGC Uni" w:cs="Times New Roman"/>
          <w:sz w:val="28"/>
          <w:szCs w:val="28"/>
        </w:rPr>
        <w:t>5 тыс. рублей.</w:t>
      </w:r>
    </w:p>
    <w:p w14:paraId="24B32209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ведомственную структуру расходов бюджета Новоузенского муниципального района на 2025 год согласно приложению 3;</w:t>
      </w:r>
    </w:p>
    <w:p w14:paraId="072D79B5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ведомственную структуру расходов бюджета Новоузенского муниципального района на плановый период 2026 и 2027 годов согласно пр</w:t>
      </w:r>
      <w:r>
        <w:rPr>
          <w:rFonts w:ascii="Tempora LGC Uni" w:hAnsi="Tempora LGC Uni" w:cs="Times New Roman"/>
          <w:sz w:val="28"/>
          <w:szCs w:val="28"/>
        </w:rPr>
        <w:t>иложению 3.1;</w:t>
      </w:r>
    </w:p>
    <w:p w14:paraId="76A2BE56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распределение бюджетных ассигнований по разделам, подразделам, цел</w:t>
      </w:r>
      <w:r>
        <w:rPr>
          <w:rFonts w:ascii="Tempora LGC Uni" w:hAnsi="Tempora LGC Uni" w:cs="Times New Roman"/>
          <w:sz w:val="28"/>
          <w:szCs w:val="28"/>
        </w:rPr>
        <w:t>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2025 год согласно приложению 4;</w:t>
      </w:r>
    </w:p>
    <w:p w14:paraId="5C6CE22D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распределение бюджетных ассигнований по разделам, подразделам, целевым статьям (муниципальным программам Новоузенского муниципального района и непрограммным направлениям деятельности), группам и подгруппам видов расходов классификации расходов бюджета Н</w:t>
      </w:r>
      <w:r>
        <w:rPr>
          <w:rFonts w:ascii="Tempora LGC Uni" w:hAnsi="Tempora LGC Uni" w:cs="Times New Roman"/>
          <w:sz w:val="28"/>
          <w:szCs w:val="28"/>
        </w:rPr>
        <w:t>овоузенского муниципального района на плановый период 2026 и 2027 годов согласно приложению 4.1;</w:t>
      </w:r>
    </w:p>
    <w:p w14:paraId="582DB8C7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распределение бюджетных ассигнований по целевым статьям (муниципальным программам Новоузенского муниципального района и непрограммным направлениям деятельнос</w:t>
      </w:r>
      <w:r>
        <w:rPr>
          <w:rFonts w:ascii="Tempora LGC Uni" w:hAnsi="Tempora LGC Uni" w:cs="Times New Roman"/>
          <w:sz w:val="28"/>
          <w:szCs w:val="28"/>
        </w:rPr>
        <w:t>ти), группам и подгруппам видов расходов классификации расходов бюджета Новоузенского муниципального района на 2025 год согласно приложению 5;</w:t>
      </w:r>
    </w:p>
    <w:p w14:paraId="6D16A1BA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lastRenderedPageBreak/>
        <w:t xml:space="preserve">- распределение бюджетных ассигнований по целевым статьям (муниципальным программам Новоузенского муниципального </w:t>
      </w:r>
      <w:r>
        <w:rPr>
          <w:rFonts w:ascii="Tempora LGC Uni" w:hAnsi="Tempora LGC Uni" w:cs="Times New Roman"/>
          <w:sz w:val="28"/>
          <w:szCs w:val="28"/>
        </w:rPr>
        <w:t>района и непрограммным направлениям деятельности), группам и подгруппам видов расходов классификации расходов бюджета Новоузенского муниципального района на плановый период 2026 и 2027 годов согласно приложению 5.1;</w:t>
      </w:r>
    </w:p>
    <w:p w14:paraId="18474AF1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bookmarkStart w:id="1" w:name="OLE_LINK12"/>
      <w:bookmarkStart w:id="2" w:name="OLE_LINK11"/>
      <w:r>
        <w:rPr>
          <w:rFonts w:ascii="Tempora LGC Uni" w:hAnsi="Tempora LGC Uni" w:cs="Times New Roman"/>
          <w:sz w:val="28"/>
          <w:szCs w:val="28"/>
        </w:rPr>
        <w:t>8. Утвердить на 2025 год и на плановый п</w:t>
      </w:r>
      <w:r>
        <w:rPr>
          <w:rFonts w:ascii="Tempora LGC Uni" w:hAnsi="Tempora LGC Uni" w:cs="Times New Roman"/>
          <w:sz w:val="28"/>
          <w:szCs w:val="28"/>
        </w:rPr>
        <w:t>ериод 2026 и 2027 годов межбюджетные трансферты, предоставляемые из бюджета Новоузенского муниципального района бюджетам поселений</w:t>
      </w:r>
      <w:bookmarkEnd w:id="1"/>
      <w:bookmarkEnd w:id="2"/>
      <w:r>
        <w:rPr>
          <w:rFonts w:ascii="Tempora LGC Uni" w:hAnsi="Tempora LGC Uni" w:cs="Times New Roman"/>
          <w:sz w:val="28"/>
          <w:szCs w:val="28"/>
        </w:rPr>
        <w:t>, в следующих формах:</w:t>
      </w:r>
    </w:p>
    <w:p w14:paraId="0212C876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1) дотация на выравнивание бюджетной обеспеченности поселений за счет субвенции областного бюджета на ис</w:t>
      </w:r>
      <w:r>
        <w:rPr>
          <w:rFonts w:ascii="Tempora LGC Uni" w:hAnsi="Tempora LGC Uni" w:cs="Times New Roman"/>
          <w:sz w:val="28"/>
          <w:szCs w:val="28"/>
        </w:rPr>
        <w:t>полнение государственных полномочий по расчету и предоставлению дотаций поселениям согласно приложению 6 с распределением:</w:t>
      </w:r>
    </w:p>
    <w:p w14:paraId="25A1003B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2025 год в сумме 1 751,3 тыс. рублей;</w:t>
      </w:r>
    </w:p>
    <w:p w14:paraId="2C92951A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2026 год в сумме 1 824,6 тыс. рублей;</w:t>
      </w:r>
    </w:p>
    <w:p w14:paraId="0E6EE3BC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2027 год в сумме 1 903,7 тыс. рублей.</w:t>
      </w:r>
    </w:p>
    <w:p w14:paraId="4F235C3E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2) дотация</w:t>
      </w:r>
      <w:r>
        <w:rPr>
          <w:rFonts w:ascii="Tempora LGC Uni" w:hAnsi="Tempora LGC Uni" w:cs="Times New Roman"/>
          <w:sz w:val="28"/>
          <w:szCs w:val="28"/>
        </w:rPr>
        <w:t xml:space="preserve"> на выравнивание бюджетной обеспеченности поселений согласно приложению 7 с распределением:</w:t>
      </w:r>
    </w:p>
    <w:p w14:paraId="1A96922A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2025 год в сумме 3 948,6 тыс. рублей;</w:t>
      </w:r>
    </w:p>
    <w:p w14:paraId="1D720E5B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2026 год в сумме 4 178,7 тыс. рублей;</w:t>
      </w:r>
    </w:p>
    <w:p w14:paraId="3B9D7C45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на 2027 год в сумме 4 385,3 тыс. рублей.</w:t>
      </w:r>
    </w:p>
    <w:p w14:paraId="23B53A49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9. Утвердить на 2025 год и на плановый пе</w:t>
      </w:r>
      <w:r>
        <w:rPr>
          <w:rFonts w:ascii="Tempora LGC Uni" w:hAnsi="Tempora LGC Uni" w:cs="Times New Roman"/>
          <w:sz w:val="28"/>
          <w:szCs w:val="28"/>
        </w:rPr>
        <w:t>риод 2026 и 2027 годов:</w:t>
      </w:r>
    </w:p>
    <w:p w14:paraId="7A89C67A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источники финансирования дефицита бюджета Новоузенского муниципального района согласно приложению 8;</w:t>
      </w:r>
    </w:p>
    <w:p w14:paraId="12902CDC" w14:textId="77777777" w:rsidR="005F1249" w:rsidRDefault="00F1201A">
      <w:pPr>
        <w:pStyle w:val="ConsPlusNormal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10. </w:t>
      </w:r>
      <w:r>
        <w:rPr>
          <w:rFonts w:ascii="Tempora LGC Uni" w:hAnsi="Tempora LGC Uni"/>
          <w:sz w:val="28"/>
          <w:szCs w:val="28"/>
        </w:rPr>
        <w:t>В бюджет Новоузенского муниципального района в 2025 году и на плановый период 2026 и 2027 годов зачисляются 15 процентов приб</w:t>
      </w:r>
      <w:r>
        <w:rPr>
          <w:rFonts w:ascii="Tempora LGC Uni" w:hAnsi="Tempora LGC Uni"/>
          <w:sz w:val="28"/>
          <w:szCs w:val="28"/>
        </w:rPr>
        <w:t>ыли муниципальных унитарных предприятий, остающейся после уплаты налогов и иных обязательных платежей, учредителем которых является администрация Новоузенского муниципального района.</w:t>
      </w:r>
    </w:p>
    <w:p w14:paraId="4015B52F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11.Настоящее решение вступает в силу с 1 января 2025 года и подлежит обяз</w:t>
      </w:r>
      <w:r>
        <w:rPr>
          <w:rFonts w:ascii="Tempora LGC Uni" w:hAnsi="Tempora LGC Uni" w:cs="Times New Roman"/>
          <w:sz w:val="28"/>
          <w:szCs w:val="28"/>
        </w:rPr>
        <w:t>ательному опубликованию.</w:t>
      </w:r>
    </w:p>
    <w:p w14:paraId="1BD4ADEF" w14:textId="77777777" w:rsidR="005F1249" w:rsidRDefault="00F1201A">
      <w:pPr>
        <w:pStyle w:val="ConsPlusNormal"/>
        <w:ind w:firstLine="567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12.</w:t>
      </w:r>
      <w:r>
        <w:rPr>
          <w:rFonts w:ascii="Tempora LGC Uni" w:hAnsi="Tempora LGC Uni" w:cs="Times New Roman"/>
          <w:b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 xml:space="preserve"> Контроль за исполнением настоящего решения возложить на председателя комиссии по бюджетно-финансовым вопросам, использованию муниципальной собственности, экономике и инвестиционной политике Гуськова А.С.</w:t>
      </w:r>
    </w:p>
    <w:p w14:paraId="492165D7" w14:textId="77777777" w:rsidR="005F1249" w:rsidRDefault="005F1249">
      <w:pPr>
        <w:spacing w:line="240" w:lineRule="auto"/>
        <w:ind w:firstLine="708"/>
        <w:jc w:val="both"/>
        <w:rPr>
          <w:rFonts w:ascii="Tempora LGC Uni" w:hAnsi="Tempora LGC Uni"/>
          <w:sz w:val="28"/>
          <w:szCs w:val="28"/>
        </w:rPr>
      </w:pPr>
    </w:p>
    <w:tbl>
      <w:tblPr>
        <w:tblW w:w="9003" w:type="dxa"/>
        <w:jc w:val="center"/>
        <w:tblLayout w:type="fixed"/>
        <w:tblLook w:val="04A0" w:firstRow="1" w:lastRow="0" w:firstColumn="1" w:lastColumn="0" w:noHBand="0" w:noVBand="1"/>
      </w:tblPr>
      <w:tblGrid>
        <w:gridCol w:w="4503"/>
        <w:gridCol w:w="4500"/>
      </w:tblGrid>
      <w:tr w:rsidR="005F1249" w14:paraId="6C78491E" w14:textId="77777777">
        <w:trPr>
          <w:jc w:val="center"/>
        </w:trPr>
        <w:tc>
          <w:tcPr>
            <w:tcW w:w="4502" w:type="dxa"/>
          </w:tcPr>
          <w:p w14:paraId="214CD5E7" w14:textId="77777777" w:rsidR="005F1249" w:rsidRDefault="00F1201A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Председатель</w:t>
            </w:r>
          </w:p>
          <w:p w14:paraId="1BB6CEDE" w14:textId="77777777" w:rsidR="005F1249" w:rsidRDefault="00F1201A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Собрания Новоузенского</w:t>
            </w:r>
          </w:p>
          <w:p w14:paraId="4F2AED38" w14:textId="77777777" w:rsidR="005F1249" w:rsidRDefault="00F1201A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муниципального района</w:t>
            </w:r>
          </w:p>
          <w:p w14:paraId="3CDB5DA1" w14:textId="77777777" w:rsidR="005F1249" w:rsidRDefault="00F1201A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sz w:val="28"/>
                <w:szCs w:val="28"/>
              </w:rPr>
              <w:t>Саратовской области</w:t>
            </w:r>
          </w:p>
          <w:p w14:paraId="46A3ACA0" w14:textId="77777777" w:rsidR="005F1249" w:rsidRDefault="005F1249">
            <w:pPr>
              <w:spacing w:after="0" w:line="240" w:lineRule="auto"/>
              <w:jc w:val="center"/>
              <w:rPr>
                <w:rFonts w:ascii="Tempora LGC Uni" w:hAnsi="Tempora LGC Uni"/>
                <w:bCs/>
                <w:sz w:val="28"/>
                <w:szCs w:val="28"/>
              </w:rPr>
            </w:pPr>
          </w:p>
        </w:tc>
        <w:tc>
          <w:tcPr>
            <w:tcW w:w="4500" w:type="dxa"/>
          </w:tcPr>
          <w:p w14:paraId="10224660" w14:textId="77777777" w:rsidR="005F1249" w:rsidRDefault="00F1201A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Глава</w:t>
            </w:r>
          </w:p>
          <w:p w14:paraId="0DF298F6" w14:textId="77777777" w:rsidR="005F1249" w:rsidRDefault="00F1201A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Новоузенского муниципального</w:t>
            </w:r>
          </w:p>
          <w:p w14:paraId="2EE2BECE" w14:textId="77777777" w:rsidR="005F1249" w:rsidRDefault="00F1201A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sz w:val="28"/>
                <w:szCs w:val="28"/>
              </w:rPr>
              <w:t>района</w:t>
            </w:r>
          </w:p>
          <w:p w14:paraId="4BBEA978" w14:textId="77777777" w:rsidR="005F1249" w:rsidRDefault="00F1201A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sz w:val="28"/>
                <w:szCs w:val="28"/>
              </w:rPr>
              <w:t>Саратовской области</w:t>
            </w:r>
          </w:p>
        </w:tc>
      </w:tr>
      <w:tr w:rsidR="005F1249" w14:paraId="461D3F40" w14:textId="77777777">
        <w:trPr>
          <w:jc w:val="center"/>
        </w:trPr>
        <w:tc>
          <w:tcPr>
            <w:tcW w:w="4502" w:type="dxa"/>
          </w:tcPr>
          <w:p w14:paraId="5D99ECA6" w14:textId="77777777" w:rsidR="005F1249" w:rsidRDefault="00F1201A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sz w:val="28"/>
                <w:szCs w:val="28"/>
              </w:rPr>
              <w:t>_____________ Д.А.Дорофеев</w:t>
            </w:r>
          </w:p>
        </w:tc>
        <w:tc>
          <w:tcPr>
            <w:tcW w:w="4500" w:type="dxa"/>
          </w:tcPr>
          <w:p w14:paraId="751873BE" w14:textId="77777777" w:rsidR="005F1249" w:rsidRDefault="00F1201A">
            <w:pPr>
              <w:spacing w:after="0" w:line="240" w:lineRule="auto"/>
              <w:jc w:val="center"/>
              <w:rPr>
                <w:rFonts w:ascii="Tempora LGC Uni" w:hAnsi="Tempora LGC Uni"/>
                <w:i/>
                <w:iCs/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sz w:val="28"/>
                <w:szCs w:val="28"/>
              </w:rPr>
              <w:t>______________ А.А.Опалько</w:t>
            </w:r>
          </w:p>
        </w:tc>
      </w:tr>
    </w:tbl>
    <w:p w14:paraId="7B7D4688" w14:textId="77C2679C" w:rsidR="005F1249" w:rsidRPr="00F1201A" w:rsidRDefault="005F1249">
      <w:pPr>
        <w:rPr>
          <w:rFonts w:ascii="Tempora LGC Uni" w:hAnsi="Tempora LGC Uni"/>
          <w:b/>
          <w:bCs/>
          <w:sz w:val="24"/>
          <w:szCs w:val="24"/>
        </w:rPr>
        <w:sectPr w:rsidR="005F1249" w:rsidRPr="00F1201A">
          <w:pgSz w:w="11906" w:h="16838"/>
          <w:pgMar w:top="567" w:right="850" w:bottom="567" w:left="1701" w:header="0" w:footer="0" w:gutter="0"/>
          <w:cols w:space="1701"/>
          <w:docGrid w:linePitch="360"/>
        </w:sectPr>
      </w:pPr>
    </w:p>
    <w:p w14:paraId="39E53FF8" w14:textId="77777777" w:rsidR="005F1249" w:rsidRDefault="005F1249" w:rsidP="00F1201A">
      <w:pPr>
        <w:tabs>
          <w:tab w:val="left" w:pos="4020"/>
        </w:tabs>
        <w:rPr>
          <w:rFonts w:ascii="Tempora LGC Uni" w:hAnsi="Tempora LGC Uni" w:cs="Tempora LGC Uni"/>
          <w:sz w:val="24"/>
          <w:szCs w:val="24"/>
        </w:rPr>
        <w:sectPr w:rsidR="005F1249">
          <w:pgSz w:w="11906" w:h="16838"/>
          <w:pgMar w:top="850" w:right="567" w:bottom="1701" w:left="1276" w:header="0" w:footer="0" w:gutter="0"/>
          <w:cols w:space="1701"/>
          <w:docGrid w:linePitch="360"/>
        </w:sectPr>
      </w:pPr>
    </w:p>
    <w:p w14:paraId="33426BFE" w14:textId="77777777" w:rsidR="005F1249" w:rsidRDefault="005F1249">
      <w:pPr>
        <w:sectPr w:rsidR="005F1249">
          <w:pgSz w:w="16838" w:h="11906" w:orient="landscape"/>
          <w:pgMar w:top="1701" w:right="567" w:bottom="850" w:left="567" w:header="0" w:footer="0" w:gutter="0"/>
          <w:cols w:space="1701"/>
          <w:docGrid w:linePitch="360"/>
        </w:sectPr>
      </w:pPr>
    </w:p>
    <w:p w14:paraId="3B71FF63" w14:textId="77777777" w:rsidR="005F1249" w:rsidRDefault="005F1249">
      <w:pPr>
        <w:sectPr w:rsidR="005F1249">
          <w:pgSz w:w="16838" w:h="11906" w:orient="landscape"/>
          <w:pgMar w:top="1701" w:right="567" w:bottom="850" w:left="567" w:header="0" w:footer="0" w:gutter="0"/>
          <w:cols w:space="1701"/>
          <w:docGrid w:linePitch="360"/>
        </w:sectPr>
      </w:pPr>
    </w:p>
    <w:p w14:paraId="35BCD747" w14:textId="77777777" w:rsidR="005F1249" w:rsidRDefault="005F1249" w:rsidP="00F1201A">
      <w:pPr>
        <w:sectPr w:rsidR="005F1249">
          <w:pgSz w:w="11906" w:h="16838"/>
          <w:pgMar w:top="567" w:right="850" w:bottom="567" w:left="1701" w:header="0" w:footer="0" w:gutter="0"/>
          <w:cols w:space="1701"/>
          <w:docGrid w:linePitch="360"/>
        </w:sectPr>
      </w:pPr>
    </w:p>
    <w:p w14:paraId="4DEFB0D0" w14:textId="77777777" w:rsidR="005F1249" w:rsidRDefault="005F1249">
      <w:pPr>
        <w:sectPr w:rsidR="005F1249">
          <w:pgSz w:w="11906" w:h="16838"/>
          <w:pgMar w:top="567" w:right="850" w:bottom="567" w:left="1701" w:header="0" w:footer="0" w:gutter="0"/>
          <w:cols w:space="1701"/>
          <w:docGrid w:linePitch="360"/>
        </w:sectPr>
      </w:pPr>
    </w:p>
    <w:p w14:paraId="49F5ECD2" w14:textId="77777777" w:rsidR="005F1249" w:rsidRDefault="005F1249">
      <w:pPr>
        <w:sectPr w:rsidR="005F1249">
          <w:pgSz w:w="11906" w:h="16838"/>
          <w:pgMar w:top="567" w:right="850" w:bottom="567" w:left="1701" w:header="0" w:footer="0" w:gutter="0"/>
          <w:cols w:space="1701"/>
          <w:docGrid w:linePitch="360"/>
        </w:sectPr>
      </w:pPr>
    </w:p>
    <w:p w14:paraId="66C123BB" w14:textId="77777777" w:rsidR="005F1249" w:rsidRDefault="005F1249">
      <w:pPr>
        <w:sectPr w:rsidR="005F1249">
          <w:pgSz w:w="11906" w:h="16838"/>
          <w:pgMar w:top="567" w:right="850" w:bottom="567" w:left="1701" w:header="0" w:footer="0" w:gutter="0"/>
          <w:cols w:space="1701"/>
          <w:docGrid w:linePitch="360"/>
        </w:sectPr>
      </w:pPr>
    </w:p>
    <w:p w14:paraId="253C7188" w14:textId="77777777" w:rsidR="005F1249" w:rsidRDefault="005F1249" w:rsidP="00F1201A">
      <w:pPr>
        <w:jc w:val="both"/>
        <w:rPr>
          <w:rFonts w:ascii="Tempora LGC Uni" w:hAnsi="Tempora LGC Uni" w:cs="Tempora LGC Uni"/>
          <w:b/>
          <w:bCs/>
          <w:sz w:val="20"/>
          <w:szCs w:val="20"/>
        </w:rPr>
      </w:pPr>
    </w:p>
    <w:sectPr w:rsidR="005F1249">
      <w:pgSz w:w="11906" w:h="16838"/>
      <w:pgMar w:top="567" w:right="850" w:bottom="567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E47A7" w14:textId="77777777" w:rsidR="005F1249" w:rsidRDefault="00F1201A">
      <w:pPr>
        <w:spacing w:after="0" w:line="240" w:lineRule="auto"/>
      </w:pPr>
      <w:r>
        <w:separator/>
      </w:r>
    </w:p>
  </w:endnote>
  <w:endnote w:type="continuationSeparator" w:id="0">
    <w:p w14:paraId="60B434E5" w14:textId="77777777" w:rsidR="005F1249" w:rsidRDefault="00F12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mpora LGC Uni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D0ED5" w14:textId="77777777" w:rsidR="005F1249" w:rsidRDefault="00F1201A">
      <w:pPr>
        <w:spacing w:after="0" w:line="240" w:lineRule="auto"/>
      </w:pPr>
      <w:r>
        <w:separator/>
      </w:r>
    </w:p>
  </w:footnote>
  <w:footnote w:type="continuationSeparator" w:id="0">
    <w:p w14:paraId="5E2F373C" w14:textId="77777777" w:rsidR="005F1249" w:rsidRDefault="00F120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249"/>
    <w:rsid w:val="005F1249"/>
    <w:rsid w:val="00F1201A"/>
    <w:rsid w:val="00F2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89F3AE3"/>
  <w15:docId w15:val="{D2BC60DB-1910-475C-9E09-9A276C12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ahoma" w:hAnsi="Times New Roman" w:cs="Lohit Devanagari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1">
    <w:name w:val="heading 1"/>
    <w:basedOn w:val="a"/>
    <w:qFormat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styleId="2">
    <w:name w:val="heading 2"/>
    <w:basedOn w:val="a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uiPriority w:val="9"/>
    <w:qFormat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qFormat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9">
    <w:name w:val="Strong"/>
    <w:basedOn w:val="a0"/>
    <w:uiPriority w:val="22"/>
    <w:qFormat/>
    <w:rPr>
      <w:b/>
      <w:bCs/>
    </w:rPr>
  </w:style>
  <w:style w:type="character" w:customStyle="1" w:styleId="10">
    <w:name w:val="Заголовок 1 Знак"/>
    <w:basedOn w:val="a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0">
    <w:name w:val="Заголовок 8 Знак"/>
    <w:basedOn w:val="a0"/>
    <w:qFormat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Pr>
      <w:sz w:val="28"/>
      <w:szCs w:val="24"/>
    </w:rPr>
  </w:style>
  <w:style w:type="character" w:customStyle="1" w:styleId="ab">
    <w:name w:val="Подзаголовок Знак"/>
    <w:basedOn w:val="a0"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Tahoma" w:eastAsia="Calibri" w:hAnsi="Tahoma" w:cs="Tahoma"/>
      <w:sz w:val="16"/>
      <w:szCs w:val="16"/>
      <w:lang w:eastAsia="en-US"/>
    </w:rPr>
  </w:style>
  <w:style w:type="character" w:customStyle="1" w:styleId="40">
    <w:name w:val="Заголовок 4 Знак"/>
    <w:basedOn w:val="a0"/>
    <w:uiPriority w:val="9"/>
    <w:qFormat/>
    <w:rPr>
      <w:b/>
      <w:bCs/>
      <w:sz w:val="24"/>
      <w:szCs w:val="24"/>
    </w:rPr>
  </w:style>
  <w:style w:type="character" w:customStyle="1" w:styleId="20">
    <w:name w:val="Основной текст (2)_"/>
    <w:basedOn w:val="a0"/>
    <w:qFormat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</w:style>
  <w:style w:type="character" w:customStyle="1" w:styleId="21">
    <w:name w:val="Заголовок 2 Знак"/>
    <w:basedOn w:val="a0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</w:style>
  <w:style w:type="character" w:customStyle="1" w:styleId="hl">
    <w:name w:val="hl"/>
    <w:basedOn w:val="a0"/>
    <w:qFormat/>
  </w:style>
  <w:style w:type="character" w:customStyle="1" w:styleId="prod">
    <w:name w:val="prod"/>
    <w:basedOn w:val="a0"/>
    <w:qFormat/>
  </w:style>
  <w:style w:type="character" w:customStyle="1" w:styleId="portion">
    <w:name w:val="portion"/>
    <w:basedOn w:val="a0"/>
    <w:qFormat/>
  </w:style>
  <w:style w:type="character" w:customStyle="1" w:styleId="title1">
    <w:name w:val="title1"/>
    <w:basedOn w:val="a0"/>
    <w:qFormat/>
  </w:style>
  <w:style w:type="character" w:customStyle="1" w:styleId="rcp">
    <w:name w:val="rcp"/>
    <w:basedOn w:val="a0"/>
    <w:qFormat/>
  </w:style>
  <w:style w:type="character" w:customStyle="1" w:styleId="ad">
    <w:name w:val="Абзац списка Знак"/>
    <w:uiPriority w:val="34"/>
    <w:qFormat/>
    <w:rPr>
      <w:sz w:val="28"/>
    </w:rPr>
  </w:style>
  <w:style w:type="paragraph" w:styleId="ae">
    <w:name w:val="Title"/>
    <w:basedOn w:val="a"/>
    <w:next w:val="af"/>
    <w:qFormat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">
    <w:name w:val="Body Text"/>
    <w:basedOn w:val="a"/>
    <w:pPr>
      <w:spacing w:after="140"/>
    </w:pPr>
  </w:style>
  <w:style w:type="paragraph" w:styleId="af0">
    <w:name w:val="List"/>
    <w:basedOn w:val="af"/>
    <w:rPr>
      <w:rFonts w:cs="Lohit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e"/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</w:style>
  <w:style w:type="paragraph" w:styleId="afa">
    <w:name w:val="table of figures"/>
    <w:basedOn w:val="a"/>
    <w:uiPriority w:val="99"/>
    <w:unhideWhenUsed/>
    <w:pPr>
      <w:spacing w:after="0"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c">
    <w:name w:val="Normal (Web)"/>
    <w:basedOn w:val="a"/>
    <w:uiPriority w:val="99"/>
    <w:unhideWhenUsed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Subtitle"/>
    <w:basedOn w:val="a"/>
    <w:qFormat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">
    <w:name w:val="No Spacing"/>
    <w:uiPriority w:val="1"/>
    <w:qFormat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onsTitle">
    <w:name w:val="ConsTitle"/>
    <w:qFormat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en-US" w:bidi="ar-SA"/>
    </w:rPr>
  </w:style>
  <w:style w:type="paragraph" w:customStyle="1" w:styleId="24">
    <w:name w:val="Основной текст (2)"/>
    <w:basedOn w:val="a"/>
    <w:qFormat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pPr>
      <w:widowControl w:val="0"/>
    </w:pPr>
    <w:rPr>
      <w:rFonts w:ascii="Calibri" w:eastAsia="Times New Roman" w:hAnsi="Calibri" w:cs="Calibri"/>
      <w:b/>
      <w:bCs/>
      <w:sz w:val="22"/>
      <w:szCs w:val="22"/>
      <w:lang w:eastAsia="ru-RU" w:bidi="ar-SA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lang w:eastAsia="ru-RU" w:bidi="ar-SA"/>
    </w:rPr>
  </w:style>
  <w:style w:type="paragraph" w:customStyle="1" w:styleId="toctitle">
    <w:name w:val="toc_title"/>
    <w:basedOn w:val="a"/>
    <w:qFormat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0">
    <w:name w:val="Текст документа"/>
    <w:basedOn w:val="a"/>
    <w:qFormat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pPr>
      <w:ind w:firstLine="720"/>
    </w:pPr>
    <w:rPr>
      <w:rFonts w:ascii="Arial" w:eastAsia="Times New Roman" w:hAnsi="Arial" w:cs="Arial"/>
      <w:lang w:eastAsia="ru-RU" w:bidi="ar-SA"/>
    </w:rPr>
  </w:style>
  <w:style w:type="paragraph" w:customStyle="1" w:styleId="aff1">
    <w:name w:val="Содержимое таблицы"/>
    <w:basedOn w:val="a"/>
    <w:qFormat/>
    <w:pPr>
      <w:ind w:firstLine="720"/>
    </w:pPr>
    <w:rPr>
      <w:color w:val="000000"/>
    </w:rPr>
  </w:style>
  <w:style w:type="paragraph" w:customStyle="1" w:styleId="aff2">
    <w:name w:val="Заголовок таблицы"/>
    <w:basedOn w:val="aff1"/>
    <w:qFormat/>
    <w:pPr>
      <w:suppressLineNumbers/>
      <w:jc w:val="center"/>
    </w:pPr>
    <w:rPr>
      <w:b/>
      <w:bCs/>
    </w:rPr>
  </w:style>
  <w:style w:type="paragraph" w:customStyle="1" w:styleId="aff3">
    <w:name w:val="Íàçâàíèå çàêîíà"/>
    <w:basedOn w:val="a"/>
    <w:qFormat/>
    <w:pPr>
      <w:spacing w:after="480"/>
      <w:jc w:val="center"/>
    </w:pPr>
    <w:rPr>
      <w:b/>
      <w:sz w:val="36"/>
    </w:rPr>
  </w:style>
  <w:style w:type="paragraph" w:customStyle="1" w:styleId="aff4">
    <w:name w:val="Òåêñò äîêóìåíòà"/>
    <w:basedOn w:val="a"/>
    <w:qFormat/>
    <w:pPr>
      <w:ind w:firstLine="720"/>
      <w:jc w:val="both"/>
    </w:pPr>
    <w:rPr>
      <w:sz w:val="28"/>
    </w:rPr>
  </w:style>
  <w:style w:type="table" w:styleId="aff5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Нина В. Кочегарова</cp:lastModifiedBy>
  <cp:revision>2</cp:revision>
  <dcterms:created xsi:type="dcterms:W3CDTF">2025-06-17T05:17:00Z</dcterms:created>
  <dcterms:modified xsi:type="dcterms:W3CDTF">2025-06-17T05:17:00Z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