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F9" w:rsidRDefault="002322F9">
      <w:pPr>
        <w:pStyle w:val="afe"/>
        <w:ind w:right="496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50pt;height:50pt;z-index:251656704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4"/>
          <w:szCs w:val="24"/>
        </w:rPr>
        <w:pict>
          <v:shape id="_x0000_i0" o:spid="_x0000_s1027" type="#_x0000_t75" style="position:absolute;left:0;text-align:left;margin-left:208.8pt;margin-top:-8.85pt;width:51.55pt;height:58pt;z-index:251658752;mso-wrap-distance-left:9pt;mso-wrap-distance-top:0;mso-wrap-distance-right:0;mso-wrap-distance-bottom:0;mso-position-horizontal:absolute;mso-position-horizontal-relative:text;mso-position-vertical:absolute;mso-position-vertical-relative:text;o:allowoverlap:true; o:allowincell:true">
            <v:imagedata r:id="rId8" o:title=""/>
            <v:path textboxrect="0,0,0,0"/>
            <w10:wrap type="topAndBottom"/>
          </v:shape>
        </w:pict>
      </w:r>
    </w:p>
    <w:p w:rsidR="002322F9" w:rsidRDefault="009875F9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:rsidR="002322F9" w:rsidRDefault="009875F9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:rsidR="002322F9" w:rsidRDefault="009875F9">
      <w:pPr>
        <w:pBdr>
          <w:bottom w:val="single" w:sz="12" w:space="3" w:color="000000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САРАТОВСКОЙ ОБЛАСТИ</w:t>
      </w:r>
    </w:p>
    <w:p w:rsidR="002322F9" w:rsidRDefault="002322F9">
      <w:pPr>
        <w:pStyle w:val="afe"/>
        <w:ind w:right="49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hape 1" o:spid="_x0000_s1026" type="#_x0000_t32" style="position:absolute;left:0;text-align:left;margin-left:-13.9pt;margin-top:4.9pt;width:495.75pt;height:.75pt;flip:y;z-index:251657728;visibility:visible;mso-wrap-distance-left:.45pt;mso-wrap-distance-top:.45pt;mso-wrap-distance-right:.4pt;mso-wrap-distance-bottom:.4pt;mso-position-horizontal:absolute;mso-position-horizontal-relative:text;mso-position-vertical:absolute;mso-position-vertical-relative:text;o:allowoverlap:true; o:allowincell:true"/>
        </w:pict>
      </w:r>
    </w:p>
    <w:p w:rsidR="002322F9" w:rsidRDefault="009875F9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СЕМЬДЕСЯТ ВОСЬМОЕ ЗАСЕДАНИЕ</w:t>
      </w:r>
    </w:p>
    <w:p w:rsidR="002322F9" w:rsidRDefault="002322F9">
      <w:pPr>
        <w:pStyle w:val="afe"/>
        <w:tabs>
          <w:tab w:val="left" w:pos="10063"/>
        </w:tabs>
        <w:ind w:right="-2"/>
        <w:jc w:val="center"/>
        <w:rPr>
          <w:rFonts w:ascii="Tempora LGC Uni" w:hAnsi="Tempora LGC Uni"/>
          <w:b/>
          <w:sz w:val="28"/>
          <w:szCs w:val="28"/>
        </w:rPr>
      </w:pPr>
    </w:p>
    <w:p w:rsidR="002322F9" w:rsidRDefault="009875F9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РЕШЕНИЕ</w:t>
      </w:r>
    </w:p>
    <w:p w:rsidR="002322F9" w:rsidRDefault="002322F9">
      <w:pPr>
        <w:spacing w:after="0"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</w:p>
    <w:p w:rsidR="002322F9" w:rsidRDefault="009875F9">
      <w:pPr>
        <w:spacing w:after="0" w:line="240" w:lineRule="auto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от 21 декабря 2023 года № 665                                                       г. Новоузенск</w:t>
      </w:r>
    </w:p>
    <w:p w:rsidR="002322F9" w:rsidRDefault="009875F9">
      <w:pPr>
        <w:spacing w:after="0" w:line="240" w:lineRule="auto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(С изменениями от 28.12.2023 № 677, от 25.01.2024 №679, от 29.02.2024 № 694, от 28.03.2024 № 703, 25.04.2024 № 712, от 30.05.2024 № 724, 28.06.2024 № 736, 31.07.2024 № 752, </w:t>
      </w:r>
      <w:proofErr w:type="gramStart"/>
      <w:r>
        <w:rPr>
          <w:rFonts w:ascii="Tempora LGC Uni" w:hAnsi="Tempora LGC Uni"/>
          <w:b/>
          <w:bCs/>
          <w:sz w:val="28"/>
          <w:szCs w:val="28"/>
        </w:rPr>
        <w:t>от</w:t>
      </w:r>
      <w:proofErr w:type="gramEnd"/>
      <w:r>
        <w:rPr>
          <w:rFonts w:ascii="Tempora LGC Uni" w:hAnsi="Tempora LGC Uni"/>
          <w:b/>
          <w:bCs/>
          <w:sz w:val="28"/>
          <w:szCs w:val="28"/>
        </w:rPr>
        <w:t xml:space="preserve"> 29.08.2024 № 759, </w:t>
      </w:r>
      <w:proofErr w:type="gramStart"/>
      <w:r>
        <w:rPr>
          <w:rFonts w:ascii="Tempora LGC Uni" w:hAnsi="Tempora LGC Uni"/>
          <w:b/>
          <w:bCs/>
          <w:sz w:val="28"/>
          <w:szCs w:val="28"/>
        </w:rPr>
        <w:t>от</w:t>
      </w:r>
      <w:proofErr w:type="gramEnd"/>
      <w:r>
        <w:rPr>
          <w:rFonts w:ascii="Tempora LGC Uni" w:hAnsi="Tempora LGC Uni"/>
          <w:b/>
          <w:bCs/>
          <w:sz w:val="28"/>
          <w:szCs w:val="28"/>
        </w:rPr>
        <w:t xml:space="preserve"> 30 сентября 2024 года № 768)</w:t>
      </w:r>
    </w:p>
    <w:p w:rsidR="002322F9" w:rsidRDefault="002322F9">
      <w:pPr>
        <w:spacing w:after="0" w:line="240" w:lineRule="auto"/>
        <w:jc w:val="center"/>
        <w:rPr>
          <w:sz w:val="28"/>
          <w:szCs w:val="28"/>
        </w:rPr>
      </w:pPr>
    </w:p>
    <w:p w:rsidR="002322F9" w:rsidRDefault="009875F9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 бюджете Новоузенского муниципального района</w:t>
      </w:r>
    </w:p>
    <w:p w:rsidR="002322F9" w:rsidRDefault="009875F9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на 2024 год</w:t>
      </w:r>
      <w:r>
        <w:rPr>
          <w:rFonts w:ascii="Tempora LGC Uni" w:hAnsi="Tempora LGC Uni"/>
          <w:b w:val="0"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>и на плановый период 2025 и 2026 годов</w:t>
      </w:r>
    </w:p>
    <w:p w:rsidR="002322F9" w:rsidRDefault="002322F9">
      <w:pPr>
        <w:pStyle w:val="aff2"/>
        <w:spacing w:line="283" w:lineRule="atLeast"/>
        <w:rPr>
          <w:rFonts w:ascii="Tempora LGC Uni" w:hAnsi="Tempora LGC Uni"/>
          <w:szCs w:val="28"/>
        </w:rPr>
      </w:pPr>
    </w:p>
    <w:p w:rsidR="002322F9" w:rsidRDefault="009875F9">
      <w:pPr>
        <w:pStyle w:val="ConsPlusNormal"/>
        <w:spacing w:line="283" w:lineRule="atLeast"/>
        <w:ind w:firstLine="567"/>
        <w:jc w:val="both"/>
        <w:outlineLvl w:val="1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Руководствуясь Бюджетным Кодексом Российской Федерации, ст. 56 Устава Новоузенского муниципального района Саратовской области, Собрание Новоузенского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>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1. Утвердить основные характеристики бюджета Новоузенского муниципального района на 2024 год и на плановый период 2025 и 2026 годов: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2024 год: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</w:t>
      </w:r>
      <w:r>
        <w:rPr>
          <w:rFonts w:ascii="Tempora LGC Uni" w:hAnsi="Tempora LGC Uni"/>
          <w:color w:val="000000"/>
          <w:sz w:val="28"/>
          <w:szCs w:val="28"/>
        </w:rPr>
        <w:t>941 641,9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тыс. рублей; 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2) общий объем расходов в сумме </w:t>
      </w:r>
      <w:r>
        <w:rPr>
          <w:rFonts w:ascii="Tempora LGC Uni" w:hAnsi="Tempora LGC Uni"/>
          <w:color w:val="000000"/>
          <w:sz w:val="28"/>
          <w:szCs w:val="28"/>
        </w:rPr>
        <w:t>966 760,4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3) дефицит в сумме 25 118,5 тыс. рублей, или 21,7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2025 года в размере 3 000,0 тыс. рублей, в том числе верхний предел долга по муниципальным гарантиям в размере 0,0 тыс. рублей.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2025 год: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795 742,1 тыс. рублей; 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795 742,1 тыс. рублей, в том числе условно утвержденные расходы в сумме 9 702,0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Новоузенского муниципального района без учета утвержденного 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объема безвозмездных поступлений и (или) поступлений налоговых доходов по дополнительным нормативам отчислений;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2026 года в размере 0,0 тыс. рублей, в том числе верхний предел долга по муниципальным гарантиям в размере 0,0 тыс. рублей.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2026 год: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808 205,9 тыс. рублей; 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808 205,9 тыс. рублей, в том числе условно утвержденные расходы в сумме 20 016,9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2027 года в размере 0,0 тыс. рублей, в том числе верхний предел долга по муниципальным гарантиям в размере 0,0 тыс. рублей.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2. Утвердить безвозмездные поступления от бюджетов других уровней бюджетной системы РФ в бюджет Новоузенского муниципального района на 2024 год и на плановый период 2025 и 2026 годов согласно приложению 1.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3. Утвердить на 2024 год и на плановый период 2025 и 2026 годов: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нормативы распределения доходов между бюджетом Новоузенского муниципального района и бюджетами поселений на 2024 год и на плановый период 2025 и 2026 годов согласно приложению 2.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4. 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Новоузенского муниципального района может осуществляться через следующие уполномоченные органы: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Финансовое управление администрации Новоузенского муниципального района;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Администрация Новоузенского муниципального района.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5. Установить, что в 2024 году в соответствии со статьей 242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26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Бюджетного кодекса Российской Федерации казначейскому сопровождению подлежат следующие средства бюджета Новоузенского муниципального района: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50 000,0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Казначейское сопровождение средств, указанных в настоящем пункте,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Бюджетного кодекса Российской Федерации.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6. Утвердить размер резервного фонда администрации Новоузенского муниципального района на 2024 год в сумме 100,0тыс. рублей, на 2025 год в сумме 100,0 тыс. рублей и на 2026 год в сумме 100,0 тыс. рублей.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7. В бюджет Новоузенского муниципального района в 2024 году и на плановый период 2025 и 2026 годов зачисляются 15 процентов прибыли муниципальных унитарных предприятий, остающейся после уплаты налогов и иных обязательных платежей, учредителем которых является администрация Новоузенского муниципального района.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8. Утвердить на 2024 год и на плановый период 2025 и 2026 годов: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общий объем бюджетных ассигнований на исполнение публичных нормативных обязательств: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3 665,7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5 507,5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5 569,0 тыс. рублей.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объем бюджетных ассигнований муниципального дорожного фонда: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70 239,4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54 099,5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55 187,1 тыс. рублей.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ведомственную структуру расходов бюджета Новоузенского муниципального района на 2024 год согласно приложению 3;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ведомственную структуру расходов бюджета Новоузенского муниципального района на плановый период 2025 и 2026 годов согласно приложению 3.1;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Новоузенского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Новоузенского муниципального района на 2024 год согласно приложению 4;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Новоузенского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Новоузенского муниципального района на плановый период 2025 и 2026 годов согласно приложению 4.1;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Новоузенского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Новоузенского муниципального района на 2024 год согласно приложению 5;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Новоузенского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Новоузенского муниципального района на плановый период 2025 и 2026 годов согласно приложению 5.1;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9. Утвердить на 2024 год и на плановый период 2025 и 2026 годов межбюджетные трансферты, предоставляемые из бюджета Новоузенского муниципального района бюджетам поселений, в следующих формах: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1) дотация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согласно приложению 6 с распределением: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1 653,3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1 751,3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1 818,8 тыс. рублей.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дотация на выравнивание бюджетной обеспеченности поселений согласно приложению 7 с распределением: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3 025,6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3 158,5 тыс. рублей;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2 935,4 тыс. рублей.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10. Утвердить на 2024 год и на плановый период 2025 и 2026 годов: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источники финансирования дефицита бюджета Новоузенского муниципального района согласно приложению 8;</w:t>
      </w:r>
    </w:p>
    <w:p w:rsidR="002322F9" w:rsidRDefault="009875F9">
      <w:pPr>
        <w:pStyle w:val="afd"/>
        <w:numPr>
          <w:ilvl w:val="0"/>
          <w:numId w:val="1"/>
        </w:numPr>
        <w:spacing w:line="283" w:lineRule="atLeast"/>
        <w:ind w:left="0" w:firstLine="567"/>
        <w:rPr>
          <w:rFonts w:ascii="Tempora LGC Uni" w:hAnsi="Tempora LGC Uni" w:cs="Tempora LGC Uni"/>
          <w:szCs w:val="28"/>
        </w:rPr>
      </w:pPr>
      <w:r>
        <w:rPr>
          <w:rFonts w:ascii="Tempora LGC Uni" w:hAnsi="Tempora LGC Uni"/>
          <w:szCs w:val="28"/>
        </w:rPr>
        <w:t>программу муниципальных внутренних заимствований Новоузенского муниципального района на 2024 год и на плановый период 2025 и 2026 годов согласно приложению 10.</w:t>
      </w:r>
    </w:p>
    <w:p w:rsidR="002322F9" w:rsidRDefault="009875F9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12.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Установить, что 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9" w:tooltip="consultantplus://offline/ref=20B7FAE37FAFEA8B9FE1C732D6AC086146ECA86F608D04B11EB8FD04D54E0D70B76342E74936FEEFZ9DB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пункте 7 статьи 78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в случаях, предусмотренных </w:t>
      </w:r>
      <w:hyperlink r:id="rId10" w:tooltip="consultantplus://offline/ref=20B7FAE37FAFEA8B9FE1D93FC0C055694FEFF0656B870DE346E7A65982470727F02C1BA50D38FBEE9A921BZ8DC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приложением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9, предоставляются в соответствии со сводной бюджетной росписью за счет бюджетных ассигнований и в пределах лимитов бюджетных обязательств путем перечисления средств субсидий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 расчетные счета получателей субсидий, открытые в кредитных организациях.</w:t>
      </w:r>
    </w:p>
    <w:p w:rsidR="002322F9" w:rsidRDefault="009875F9">
      <w:pPr>
        <w:pStyle w:val="ConsPlusNormal"/>
        <w:spacing w:line="283" w:lineRule="atLeast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13. Настоящее решение вступает в силу с 1 января 2024 года и подлежит обязательному опубликованию.</w:t>
      </w:r>
    </w:p>
    <w:p w:rsidR="002322F9" w:rsidRDefault="009875F9">
      <w:pPr>
        <w:pStyle w:val="ConsPlusNormal"/>
        <w:spacing w:line="283" w:lineRule="atLeast"/>
        <w:ind w:firstLine="567"/>
        <w:jc w:val="both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14. </w:t>
      </w:r>
      <w:proofErr w:type="gramStart"/>
      <w:r>
        <w:rPr>
          <w:rFonts w:ascii="Tempora LGC Uni" w:hAnsi="Tempora LGC Uni" w:cs="Times New Roman"/>
          <w:sz w:val="28"/>
          <w:szCs w:val="28"/>
        </w:rPr>
        <w:t>Контроль за</w:t>
      </w:r>
      <w:proofErr w:type="gramEnd"/>
      <w:r>
        <w:rPr>
          <w:rFonts w:ascii="Tempora LGC Uni" w:hAnsi="Tempora LGC Uni" w:cs="Times New Roman"/>
          <w:sz w:val="28"/>
          <w:szCs w:val="28"/>
        </w:rPr>
        <w:t xml:space="preserve"> исполнением настоящего решения возложить на председателя постоянной комиссии по бюджетно-финансовым вопросам, налогам и использованию муниципальной собственности </w:t>
      </w:r>
      <w:proofErr w:type="spellStart"/>
      <w:r>
        <w:rPr>
          <w:rFonts w:ascii="Tempora LGC Uni" w:hAnsi="Tempora LGC Uni" w:cs="Times New Roman"/>
          <w:sz w:val="28"/>
          <w:szCs w:val="28"/>
        </w:rPr>
        <w:t>Гуськова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А.С.</w:t>
      </w:r>
    </w:p>
    <w:p w:rsidR="002322F9" w:rsidRDefault="002322F9">
      <w:pPr>
        <w:pStyle w:val="ConsPlusNormal"/>
        <w:ind w:firstLine="567"/>
        <w:jc w:val="both"/>
        <w:rPr>
          <w:rFonts w:ascii="Tempora LGC Uni" w:hAnsi="Tempora LGC Uni" w:cs="Times New Roman"/>
          <w:sz w:val="24"/>
          <w:szCs w:val="24"/>
        </w:rPr>
      </w:pPr>
    </w:p>
    <w:tbl>
      <w:tblPr>
        <w:tblW w:w="9003" w:type="dxa"/>
        <w:jc w:val="center"/>
        <w:tblLayout w:type="fixed"/>
        <w:tblLook w:val="04A0"/>
      </w:tblPr>
      <w:tblGrid>
        <w:gridCol w:w="4503"/>
        <w:gridCol w:w="4500"/>
      </w:tblGrid>
      <w:tr w:rsidR="002322F9">
        <w:trPr>
          <w:jc w:val="center"/>
        </w:trPr>
        <w:tc>
          <w:tcPr>
            <w:tcW w:w="4502" w:type="dxa"/>
          </w:tcPr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Председатель</w:t>
            </w:r>
          </w:p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Собрания Новоузенского</w:t>
            </w:r>
          </w:p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муниципального района</w:t>
            </w:r>
          </w:p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  <w:p w:rsidR="002322F9" w:rsidRDefault="002322F9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  <w:p w:rsidR="002322F9" w:rsidRDefault="002322F9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</w:tcPr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Глава</w:t>
            </w:r>
          </w:p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 муниципального</w:t>
            </w:r>
          </w:p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района</w:t>
            </w:r>
          </w:p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</w:tc>
      </w:tr>
      <w:tr w:rsidR="002322F9">
        <w:trPr>
          <w:jc w:val="center"/>
        </w:trPr>
        <w:tc>
          <w:tcPr>
            <w:tcW w:w="4502" w:type="dxa"/>
          </w:tcPr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_____________ Д.А.Дорофеев</w:t>
            </w:r>
          </w:p>
        </w:tc>
        <w:tc>
          <w:tcPr>
            <w:tcW w:w="4500" w:type="dxa"/>
          </w:tcPr>
          <w:p w:rsidR="002322F9" w:rsidRDefault="009875F9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А.А.Опалько</w:t>
            </w:r>
            <w:proofErr w:type="spellEnd"/>
          </w:p>
        </w:tc>
      </w:tr>
    </w:tbl>
    <w:p w:rsidR="002322F9" w:rsidRDefault="002322F9" w:rsidP="007F015E">
      <w:pPr>
        <w:rPr>
          <w:rFonts w:ascii="Tempora LGC Uni" w:hAnsi="Tempora LGC Uni"/>
          <w:sz w:val="24"/>
          <w:szCs w:val="24"/>
        </w:rPr>
      </w:pPr>
      <w:bookmarkStart w:id="0" w:name="RANGE!A1%252525252525252525253AE72"/>
      <w:bookmarkStart w:id="1" w:name="RANGE!A1%252525252525252525253AE69"/>
      <w:bookmarkStart w:id="2" w:name="RANGE!A1%252525252525252525253AC40"/>
      <w:bookmarkEnd w:id="0"/>
      <w:bookmarkEnd w:id="1"/>
      <w:bookmarkEnd w:id="2"/>
    </w:p>
    <w:sectPr w:rsidR="002322F9" w:rsidSect="002322F9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5F9" w:rsidRDefault="009875F9">
      <w:pPr>
        <w:spacing w:after="0" w:line="240" w:lineRule="auto"/>
      </w:pPr>
      <w:r>
        <w:separator/>
      </w:r>
    </w:p>
  </w:endnote>
  <w:endnote w:type="continuationSeparator" w:id="0">
    <w:p w:rsidR="009875F9" w:rsidRDefault="00987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5F9" w:rsidRDefault="009875F9">
      <w:pPr>
        <w:spacing w:after="0" w:line="240" w:lineRule="auto"/>
      </w:pPr>
      <w:r>
        <w:separator/>
      </w:r>
    </w:p>
  </w:footnote>
  <w:footnote w:type="continuationSeparator" w:id="0">
    <w:p w:rsidR="009875F9" w:rsidRDefault="00987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F5A78"/>
    <w:multiLevelType w:val="hybridMultilevel"/>
    <w:tmpl w:val="B7F82170"/>
    <w:lvl w:ilvl="0" w:tplc="174AFA16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BE869C40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F0B4EA96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05529484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FDB00994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CA8A8BBC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2ED89A74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5A2757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D3BA469A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2F9"/>
    <w:rsid w:val="002322F9"/>
    <w:rsid w:val="007F015E"/>
    <w:rsid w:val="0098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shape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Lohit Devanagari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2F9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2322F9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2322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2322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2322F9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2322F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2322F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2322F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2322F9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2322F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2322F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2322F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2322F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2322F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2322F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2322F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2322F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2322F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2322F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2322F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2322F9"/>
    <w:rPr>
      <w:sz w:val="24"/>
      <w:szCs w:val="24"/>
    </w:rPr>
  </w:style>
  <w:style w:type="character" w:customStyle="1" w:styleId="QuoteChar">
    <w:name w:val="Quote Char"/>
    <w:uiPriority w:val="29"/>
    <w:qFormat/>
    <w:rsid w:val="002322F9"/>
    <w:rPr>
      <w:i/>
    </w:rPr>
  </w:style>
  <w:style w:type="character" w:customStyle="1" w:styleId="IntenseQuoteChar">
    <w:name w:val="Intense Quote Char"/>
    <w:uiPriority w:val="30"/>
    <w:qFormat/>
    <w:rsid w:val="002322F9"/>
    <w:rPr>
      <w:i/>
    </w:rPr>
  </w:style>
  <w:style w:type="character" w:customStyle="1" w:styleId="HeaderChar">
    <w:name w:val="Header Char"/>
    <w:basedOn w:val="a0"/>
    <w:uiPriority w:val="99"/>
    <w:qFormat/>
    <w:rsid w:val="002322F9"/>
  </w:style>
  <w:style w:type="character" w:customStyle="1" w:styleId="FooterChar">
    <w:name w:val="Footer Char"/>
    <w:basedOn w:val="a0"/>
    <w:uiPriority w:val="99"/>
    <w:qFormat/>
    <w:rsid w:val="002322F9"/>
  </w:style>
  <w:style w:type="character" w:customStyle="1" w:styleId="CaptionChar">
    <w:name w:val="Caption Char"/>
    <w:uiPriority w:val="99"/>
    <w:qFormat/>
    <w:rsid w:val="002322F9"/>
  </w:style>
  <w:style w:type="character" w:customStyle="1" w:styleId="FootnoteTextChar">
    <w:name w:val="Footnote Text Char"/>
    <w:uiPriority w:val="99"/>
    <w:qFormat/>
    <w:rsid w:val="002322F9"/>
    <w:rPr>
      <w:sz w:val="18"/>
    </w:rPr>
  </w:style>
  <w:style w:type="character" w:customStyle="1" w:styleId="a3">
    <w:name w:val="Символ сноски"/>
    <w:uiPriority w:val="99"/>
    <w:unhideWhenUsed/>
    <w:qFormat/>
    <w:rsid w:val="002322F9"/>
    <w:rPr>
      <w:vertAlign w:val="superscript"/>
    </w:rPr>
  </w:style>
  <w:style w:type="character" w:styleId="a4">
    <w:name w:val="footnote reference"/>
    <w:rsid w:val="002322F9"/>
    <w:rPr>
      <w:vertAlign w:val="superscript"/>
    </w:rPr>
  </w:style>
  <w:style w:type="character" w:customStyle="1" w:styleId="EndnoteTextChar">
    <w:name w:val="Endnote Text Char"/>
    <w:uiPriority w:val="99"/>
    <w:qFormat/>
    <w:rsid w:val="002322F9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2322F9"/>
    <w:rPr>
      <w:vertAlign w:val="superscript"/>
    </w:rPr>
  </w:style>
  <w:style w:type="character" w:styleId="a6">
    <w:name w:val="endnote reference"/>
    <w:rsid w:val="002322F9"/>
    <w:rPr>
      <w:vertAlign w:val="superscript"/>
    </w:rPr>
  </w:style>
  <w:style w:type="character" w:styleId="a7">
    <w:name w:val="Emphasis"/>
    <w:basedOn w:val="a0"/>
    <w:uiPriority w:val="20"/>
    <w:qFormat/>
    <w:rsid w:val="002322F9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2322F9"/>
    <w:rPr>
      <w:color w:val="0000FF"/>
      <w:u w:val="single"/>
    </w:rPr>
  </w:style>
  <w:style w:type="character" w:styleId="a9">
    <w:name w:val="Strong"/>
    <w:basedOn w:val="a0"/>
    <w:uiPriority w:val="22"/>
    <w:qFormat/>
    <w:rsid w:val="002322F9"/>
    <w:rPr>
      <w:b/>
      <w:bCs/>
    </w:rPr>
  </w:style>
  <w:style w:type="character" w:customStyle="1" w:styleId="1">
    <w:name w:val="Заголовок 1 Знак"/>
    <w:basedOn w:val="a0"/>
    <w:qFormat/>
    <w:rsid w:val="002322F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2322F9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2322F9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2322F9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2322F9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2322F9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2322F9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2322F9"/>
  </w:style>
  <w:style w:type="character" w:customStyle="1" w:styleId="20">
    <w:name w:val="Заголовок 2 Знак"/>
    <w:basedOn w:val="a0"/>
    <w:semiHidden/>
    <w:qFormat/>
    <w:rsid w:val="002322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2322F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2322F9"/>
  </w:style>
  <w:style w:type="character" w:customStyle="1" w:styleId="hl">
    <w:name w:val="hl"/>
    <w:basedOn w:val="a0"/>
    <w:qFormat/>
    <w:rsid w:val="002322F9"/>
  </w:style>
  <w:style w:type="character" w:customStyle="1" w:styleId="prod">
    <w:name w:val="prod"/>
    <w:basedOn w:val="a0"/>
    <w:qFormat/>
    <w:rsid w:val="002322F9"/>
  </w:style>
  <w:style w:type="character" w:customStyle="1" w:styleId="portion">
    <w:name w:val="portion"/>
    <w:basedOn w:val="a0"/>
    <w:qFormat/>
    <w:rsid w:val="002322F9"/>
  </w:style>
  <w:style w:type="character" w:customStyle="1" w:styleId="title1">
    <w:name w:val="title1"/>
    <w:basedOn w:val="a0"/>
    <w:qFormat/>
    <w:rsid w:val="002322F9"/>
  </w:style>
  <w:style w:type="character" w:customStyle="1" w:styleId="rcp">
    <w:name w:val="rcp"/>
    <w:basedOn w:val="a0"/>
    <w:qFormat/>
    <w:rsid w:val="002322F9"/>
  </w:style>
  <w:style w:type="character" w:customStyle="1" w:styleId="ad">
    <w:name w:val="Абзац списка Знак"/>
    <w:uiPriority w:val="34"/>
    <w:qFormat/>
    <w:rsid w:val="002322F9"/>
    <w:rPr>
      <w:sz w:val="28"/>
    </w:rPr>
  </w:style>
  <w:style w:type="character" w:styleId="ae">
    <w:name w:val="FollowedHyperlink"/>
    <w:rsid w:val="002322F9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2322F9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rsid w:val="002322F9"/>
    <w:pPr>
      <w:spacing w:after="140"/>
    </w:pPr>
  </w:style>
  <w:style w:type="paragraph" w:styleId="af1">
    <w:name w:val="List"/>
    <w:basedOn w:val="af0"/>
    <w:rsid w:val="002322F9"/>
    <w:rPr>
      <w:rFonts w:cs="Lohit Devanagari"/>
    </w:rPr>
  </w:style>
  <w:style w:type="paragraph" w:customStyle="1" w:styleId="Caption">
    <w:name w:val="Caption"/>
    <w:basedOn w:val="a"/>
    <w:qFormat/>
    <w:rsid w:val="002322F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rsid w:val="002322F9"/>
    <w:pPr>
      <w:suppressLineNumbers/>
    </w:pPr>
    <w:rPr>
      <w:rFonts w:cs="Lohit Devanagari"/>
    </w:rPr>
  </w:style>
  <w:style w:type="paragraph" w:styleId="21">
    <w:name w:val="Quote"/>
    <w:basedOn w:val="a"/>
    <w:uiPriority w:val="29"/>
    <w:qFormat/>
    <w:rsid w:val="002322F9"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rsid w:val="002322F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  <w:rsid w:val="002322F9"/>
  </w:style>
  <w:style w:type="paragraph" w:customStyle="1" w:styleId="Header">
    <w:name w:val="Header"/>
    <w:basedOn w:val="a"/>
    <w:uiPriority w:val="99"/>
    <w:unhideWhenUsed/>
    <w:rsid w:val="002322F9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2322F9"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note text"/>
    <w:basedOn w:val="a"/>
    <w:uiPriority w:val="99"/>
    <w:semiHidden/>
    <w:unhideWhenUsed/>
    <w:rsid w:val="002322F9"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rsid w:val="002322F9"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rsid w:val="002322F9"/>
    <w:pPr>
      <w:spacing w:after="57"/>
    </w:pPr>
  </w:style>
  <w:style w:type="paragraph" w:styleId="22">
    <w:name w:val="toc 2"/>
    <w:basedOn w:val="a"/>
    <w:uiPriority w:val="39"/>
    <w:unhideWhenUsed/>
    <w:rsid w:val="002322F9"/>
    <w:pPr>
      <w:spacing w:after="57"/>
      <w:ind w:left="283"/>
    </w:pPr>
  </w:style>
  <w:style w:type="paragraph" w:styleId="30">
    <w:name w:val="toc 3"/>
    <w:basedOn w:val="a"/>
    <w:uiPriority w:val="39"/>
    <w:unhideWhenUsed/>
    <w:rsid w:val="002322F9"/>
    <w:pPr>
      <w:spacing w:after="57"/>
      <w:ind w:left="567"/>
    </w:pPr>
  </w:style>
  <w:style w:type="paragraph" w:styleId="40">
    <w:name w:val="toc 4"/>
    <w:basedOn w:val="a"/>
    <w:uiPriority w:val="39"/>
    <w:unhideWhenUsed/>
    <w:rsid w:val="002322F9"/>
    <w:pPr>
      <w:spacing w:after="57"/>
      <w:ind w:left="850"/>
    </w:pPr>
  </w:style>
  <w:style w:type="paragraph" w:styleId="5">
    <w:name w:val="toc 5"/>
    <w:basedOn w:val="a"/>
    <w:uiPriority w:val="39"/>
    <w:unhideWhenUsed/>
    <w:rsid w:val="002322F9"/>
    <w:pPr>
      <w:spacing w:after="57"/>
      <w:ind w:left="1134"/>
    </w:pPr>
  </w:style>
  <w:style w:type="paragraph" w:styleId="6">
    <w:name w:val="toc 6"/>
    <w:basedOn w:val="a"/>
    <w:uiPriority w:val="39"/>
    <w:unhideWhenUsed/>
    <w:rsid w:val="002322F9"/>
    <w:pPr>
      <w:spacing w:after="57"/>
      <w:ind w:left="1417"/>
    </w:pPr>
  </w:style>
  <w:style w:type="paragraph" w:styleId="7">
    <w:name w:val="toc 7"/>
    <w:basedOn w:val="a"/>
    <w:uiPriority w:val="39"/>
    <w:unhideWhenUsed/>
    <w:rsid w:val="002322F9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2322F9"/>
    <w:pPr>
      <w:spacing w:after="57"/>
      <w:ind w:left="1984"/>
    </w:pPr>
  </w:style>
  <w:style w:type="paragraph" w:styleId="9">
    <w:name w:val="toc 9"/>
    <w:basedOn w:val="a"/>
    <w:uiPriority w:val="39"/>
    <w:unhideWhenUsed/>
    <w:rsid w:val="002322F9"/>
    <w:pPr>
      <w:spacing w:after="57"/>
      <w:ind w:left="2268"/>
    </w:pPr>
  </w:style>
  <w:style w:type="paragraph" w:customStyle="1" w:styleId="IndexHeading">
    <w:name w:val="Index Heading"/>
    <w:basedOn w:val="af"/>
    <w:rsid w:val="002322F9"/>
  </w:style>
  <w:style w:type="paragraph" w:styleId="af7">
    <w:name w:val="TOC Heading"/>
    <w:uiPriority w:val="39"/>
    <w:unhideWhenUsed/>
    <w:qFormat/>
    <w:rsid w:val="002322F9"/>
  </w:style>
  <w:style w:type="paragraph" w:styleId="af8">
    <w:name w:val="table of figures"/>
    <w:basedOn w:val="a"/>
    <w:uiPriority w:val="99"/>
    <w:unhideWhenUsed/>
    <w:rsid w:val="002322F9"/>
    <w:pPr>
      <w:spacing w:after="0"/>
    </w:pPr>
  </w:style>
  <w:style w:type="paragraph" w:styleId="af9">
    <w:name w:val="Balloon Text"/>
    <w:basedOn w:val="a"/>
    <w:uiPriority w:val="99"/>
    <w:semiHidden/>
    <w:unhideWhenUsed/>
    <w:qFormat/>
    <w:rsid w:val="002322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a">
    <w:name w:val="Title"/>
    <w:basedOn w:val="a"/>
    <w:qFormat/>
    <w:rsid w:val="002322F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Normal (Web)"/>
    <w:basedOn w:val="a"/>
    <w:uiPriority w:val="99"/>
    <w:unhideWhenUsed/>
    <w:qFormat/>
    <w:rsid w:val="002322F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Subtitle"/>
    <w:basedOn w:val="a"/>
    <w:qFormat/>
    <w:rsid w:val="002322F9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2322F9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e">
    <w:name w:val="No Spacing"/>
    <w:qFormat/>
    <w:rsid w:val="002322F9"/>
    <w:rPr>
      <w:rFonts w:eastAsia="Times New Roman" w:cs="Times New Roman"/>
      <w:lang w:bidi="ar-SA"/>
    </w:rPr>
  </w:style>
  <w:style w:type="paragraph" w:customStyle="1" w:styleId="ConsTitle">
    <w:name w:val="ConsTitle"/>
    <w:qFormat/>
    <w:rsid w:val="002322F9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  <w:style w:type="paragraph" w:customStyle="1" w:styleId="23">
    <w:name w:val="Основной текст (2)"/>
    <w:basedOn w:val="a"/>
    <w:qFormat/>
    <w:rsid w:val="002322F9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2322F9"/>
    <w:pPr>
      <w:widowControl w:val="0"/>
    </w:pPr>
    <w:rPr>
      <w:rFonts w:ascii="Calibri" w:eastAsia="Times New Roman" w:hAnsi="Calibri" w:cs="Calibri"/>
      <w:b/>
      <w:bCs/>
      <w:sz w:val="22"/>
      <w:szCs w:val="22"/>
      <w:lang w:eastAsia="ru-RU" w:bidi="ar-SA"/>
    </w:rPr>
  </w:style>
  <w:style w:type="paragraph" w:customStyle="1" w:styleId="ConsPlusTitlePage">
    <w:name w:val="ConsPlusTitlePage"/>
    <w:qFormat/>
    <w:rsid w:val="002322F9"/>
    <w:pPr>
      <w:widowControl w:val="0"/>
    </w:pPr>
    <w:rPr>
      <w:rFonts w:ascii="Tahoma" w:eastAsia="Times New Roman" w:hAnsi="Tahoma" w:cs="Tahoma"/>
      <w:lang w:eastAsia="ru-RU" w:bidi="ar-SA"/>
    </w:rPr>
  </w:style>
  <w:style w:type="paragraph" w:customStyle="1" w:styleId="toctitle">
    <w:name w:val="toc_title"/>
    <w:basedOn w:val="a"/>
    <w:qFormat/>
    <w:rsid w:val="002322F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Текст документа"/>
    <w:basedOn w:val="a"/>
    <w:qFormat/>
    <w:rsid w:val="002322F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2322F9"/>
    <w:pPr>
      <w:ind w:firstLine="720"/>
    </w:pPr>
    <w:rPr>
      <w:rFonts w:ascii="Arial" w:eastAsia="Times New Roman" w:hAnsi="Arial" w:cs="Arial"/>
      <w:lang w:eastAsia="ru-RU" w:bidi="ar-SA"/>
    </w:rPr>
  </w:style>
  <w:style w:type="paragraph" w:customStyle="1" w:styleId="aff0">
    <w:name w:val="Содержимое таблицы"/>
    <w:basedOn w:val="a"/>
    <w:qFormat/>
    <w:rsid w:val="002322F9"/>
    <w:pPr>
      <w:ind w:firstLine="720"/>
    </w:pPr>
    <w:rPr>
      <w:color w:val="000000"/>
    </w:rPr>
  </w:style>
  <w:style w:type="paragraph" w:customStyle="1" w:styleId="aff1">
    <w:name w:val="Íàçâàíèå çàêîíà"/>
    <w:basedOn w:val="a"/>
    <w:qFormat/>
    <w:rsid w:val="002322F9"/>
    <w:pPr>
      <w:spacing w:after="480"/>
      <w:jc w:val="center"/>
    </w:pPr>
    <w:rPr>
      <w:b/>
      <w:sz w:val="36"/>
    </w:rPr>
  </w:style>
  <w:style w:type="paragraph" w:customStyle="1" w:styleId="aff2">
    <w:name w:val="Òåêñò äîêóìåíòà"/>
    <w:basedOn w:val="a"/>
    <w:qFormat/>
    <w:rsid w:val="002322F9"/>
    <w:pPr>
      <w:ind w:firstLine="720"/>
      <w:jc w:val="both"/>
    </w:pPr>
    <w:rPr>
      <w:sz w:val="28"/>
    </w:rPr>
  </w:style>
  <w:style w:type="paragraph" w:customStyle="1" w:styleId="aff3">
    <w:name w:val="Заголовок таблицы"/>
    <w:basedOn w:val="aff0"/>
    <w:qFormat/>
    <w:rsid w:val="002322F9"/>
    <w:pPr>
      <w:suppressLineNumbers/>
      <w:jc w:val="center"/>
    </w:pPr>
    <w:rPr>
      <w:b/>
      <w:bCs/>
    </w:rPr>
  </w:style>
  <w:style w:type="table" w:styleId="aff4">
    <w:name w:val="Table Grid"/>
    <w:uiPriority w:val="59"/>
    <w:rsid w:val="0023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322F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322F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2322F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2322F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2322F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2322F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2322F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2322F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2322F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2322F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2322F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322F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322F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322F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322F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322F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322F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2322F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322F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322F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322F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322F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322F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322F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2322F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322F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322F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322F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322F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322F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322F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2322F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322F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322F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322F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322F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322F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322F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322F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322F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322F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322F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322F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322F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322F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322F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322F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322F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322F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322F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322F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322F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2322F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322F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322F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322F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322F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322F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322F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2322F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322F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322F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2322F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2322F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2322F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2322F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2322F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322F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322F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322F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322F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322F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322F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2322F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322F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2322F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322F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322F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322F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322F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322F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322F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322F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322F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322F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322F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322F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322F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322F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322F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322F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322F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322F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322F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2322F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322F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2322F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322F9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322F9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322F9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322F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322F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2322F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2322F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2322F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2322F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2322F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2322F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2322F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B7FAE37FAFEA8B9FE1D93FC0C055694FEFF0656B870DE346E7A65982470727F02C1BA50D38FBEE9A921BZ8D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B7FAE37FAFEA8B9FE1C732D6AC086146ECA86F608D04B11EB8FD04D54E0D70B76342E74936FEEFZ9D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smirnovaaa</cp:lastModifiedBy>
  <cp:revision>68</cp:revision>
  <dcterms:created xsi:type="dcterms:W3CDTF">2020-12-27T20:56:00Z</dcterms:created>
  <dcterms:modified xsi:type="dcterms:W3CDTF">2024-10-17T10:13:00Z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