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FC1B" w14:textId="77777777" w:rsidR="00304D25" w:rsidRDefault="00F67AE5">
      <w:pPr>
        <w:pStyle w:val="aff0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480497" wp14:editId="3CE4E9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23DB7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I5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pIyyOS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0" simplePos="0" relativeHeight="251658752" behindDoc="0" locked="0" layoutInCell="1" allowOverlap="1" wp14:anchorId="34E83CDF" wp14:editId="4C7413D9">
            <wp:simplePos x="0" y="0"/>
            <wp:positionH relativeFrom="column">
              <wp:posOffset>2651760</wp:posOffset>
            </wp:positionH>
            <wp:positionV relativeFrom="paragraph">
              <wp:posOffset>-112395</wp:posOffset>
            </wp:positionV>
            <wp:extent cx="654685" cy="736600"/>
            <wp:effectExtent l="0" t="0" r="0" b="0"/>
            <wp:wrapTopAndBottom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73838F" w14:textId="77777777" w:rsidR="00304D25" w:rsidRDefault="00F67AE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14:paraId="4F8AC011" w14:textId="77777777" w:rsidR="00304D25" w:rsidRDefault="00F67AE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14:paraId="18F73215" w14:textId="77777777" w:rsidR="00304D25" w:rsidRDefault="00F67AE5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14:paraId="5E49044D" w14:textId="77777777" w:rsidR="00304D25" w:rsidRDefault="00F67AE5">
      <w:pPr>
        <w:pStyle w:val="aff0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5715" distB="5080" distL="5715" distR="5080" simplePos="0" relativeHeight="251656704" behindDoc="0" locked="0" layoutInCell="1" allowOverlap="1" wp14:anchorId="1C2A47B2" wp14:editId="1D0D45AB">
                <wp:simplePos x="0" y="0"/>
                <wp:positionH relativeFrom="column">
                  <wp:posOffset>-176530</wp:posOffset>
                </wp:positionH>
                <wp:positionV relativeFrom="paragraph">
                  <wp:posOffset>62230</wp:posOffset>
                </wp:positionV>
                <wp:extent cx="6296025" cy="9525"/>
                <wp:effectExtent l="5715" t="5715" r="5080" b="5080"/>
                <wp:wrapNone/>
                <wp:docPr id="2" name="Автофигур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296039" cy="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CF90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Автофигуры 3" o:spid="_x0000_s1026" type="#_x0000_t32" style="position:absolute;margin-left:-13.9pt;margin-top:4.9pt;width:495.75pt;height:.75pt;flip:y;z-index:251656704;visibility:visible;mso-wrap-style:square;mso-wrap-distance-left:.45pt;mso-wrap-distance-top:.45pt;mso-wrap-distance-right:.4pt;mso-wrap-distance-bottom:.4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"/>
            </w:pict>
          </mc:Fallback>
        </mc:AlternateContent>
      </w:r>
    </w:p>
    <w:p w14:paraId="3236F26A" w14:textId="77777777" w:rsidR="00304D25" w:rsidRDefault="00F67AE5">
      <w:pPr>
        <w:pStyle w:val="aff0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ДЕВЯНОСТО ШЕСТОЕ ЗАСЕДАНИЕ</w:t>
      </w:r>
    </w:p>
    <w:p w14:paraId="00FE8A54" w14:textId="77777777" w:rsidR="00304D25" w:rsidRDefault="00304D25">
      <w:pPr>
        <w:pStyle w:val="aff0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14:paraId="400D665F" w14:textId="77777777" w:rsidR="00304D25" w:rsidRDefault="00F67AE5">
      <w:pPr>
        <w:pStyle w:val="aff0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14:paraId="5D1D2AA5" w14:textId="77777777" w:rsidR="00304D25" w:rsidRDefault="00304D25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14:paraId="42F9E2F8" w14:textId="77777777" w:rsidR="00304D25" w:rsidRDefault="00F67AE5">
      <w:pPr>
        <w:spacing w:after="0" w:line="240" w:lineRule="auto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19 декабря 2024 года № 802                                                       г. Новоузенск</w:t>
      </w:r>
    </w:p>
    <w:p w14:paraId="07851492" w14:textId="77777777" w:rsidR="00304D25" w:rsidRDefault="00304D25">
      <w:pPr>
        <w:spacing w:after="0" w:line="240" w:lineRule="auto"/>
        <w:rPr>
          <w:rFonts w:ascii="Tempora LGC Uni" w:hAnsi="Tempora LGC Uni"/>
          <w:sz w:val="28"/>
          <w:szCs w:val="28"/>
        </w:rPr>
      </w:pPr>
    </w:p>
    <w:p w14:paraId="1772DBAA" w14:textId="77777777" w:rsidR="00304D25" w:rsidRDefault="00F67AE5">
      <w:pPr>
        <w:spacing w:after="0" w:line="240" w:lineRule="auto"/>
        <w:jc w:val="center"/>
        <w:rPr>
          <w:rFonts w:ascii="Tempora LGC Uni" w:hAnsi="Tempora LGC Uni"/>
          <w:b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 xml:space="preserve">(С изменениями </w:t>
      </w:r>
      <w:r>
        <w:rPr>
          <w:rFonts w:ascii="Tempora LGC Uni" w:hAnsi="Tempora LGC Uni"/>
          <w:b/>
          <w:bCs/>
          <w:sz w:val="28"/>
          <w:szCs w:val="28"/>
        </w:rPr>
        <w:t xml:space="preserve">от 27 декабря 2024 года № </w:t>
      </w:r>
      <w:bookmarkStart w:id="0" w:name="undefined"/>
      <w:bookmarkEnd w:id="0"/>
      <w:r>
        <w:rPr>
          <w:rFonts w:ascii="Tempora LGC Uni" w:hAnsi="Tempora LGC Uni"/>
          <w:b/>
          <w:bCs/>
          <w:sz w:val="28"/>
          <w:szCs w:val="28"/>
        </w:rPr>
        <w:t>813, от 30 января 2025 года № 815, от 31 марта 2025 года № 846)</w:t>
      </w:r>
    </w:p>
    <w:p w14:paraId="2C61CC32" w14:textId="77777777" w:rsidR="00304D25" w:rsidRDefault="00304D25">
      <w:pPr>
        <w:pStyle w:val="aff4"/>
        <w:spacing w:after="0"/>
        <w:jc w:val="left"/>
        <w:rPr>
          <w:rFonts w:ascii="Tempora LGC Uni" w:hAnsi="Tempora LGC Uni"/>
          <w:sz w:val="28"/>
          <w:szCs w:val="28"/>
        </w:rPr>
      </w:pPr>
    </w:p>
    <w:p w14:paraId="3EE35FEC" w14:textId="77777777" w:rsidR="00304D25" w:rsidRDefault="00F67AE5">
      <w:pPr>
        <w:pStyle w:val="aff4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 бюджете Новоузенского муниципального района</w:t>
      </w:r>
    </w:p>
    <w:p w14:paraId="33E3BEB2" w14:textId="77777777" w:rsidR="00304D25" w:rsidRDefault="00F67AE5">
      <w:pPr>
        <w:pStyle w:val="aff4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 на 2025 год и на плановый период 2026 и 2027 годов</w:t>
      </w:r>
    </w:p>
    <w:p w14:paraId="431783F6" w14:textId="77777777" w:rsidR="00304D25" w:rsidRDefault="00304D25">
      <w:pPr>
        <w:pStyle w:val="aff5"/>
        <w:rPr>
          <w:rFonts w:ascii="Tempora LGC Uni" w:hAnsi="Tempora LGC Uni"/>
          <w:szCs w:val="28"/>
        </w:rPr>
      </w:pPr>
    </w:p>
    <w:p w14:paraId="782E5146" w14:textId="77777777" w:rsidR="00304D25" w:rsidRDefault="00F67AE5">
      <w:pPr>
        <w:pStyle w:val="ConsPlusNormal"/>
        <w:ind w:firstLine="567"/>
        <w:jc w:val="both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Руководствуясь Бюджетным Кодексом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14:paraId="23F0F3A0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1. Утвердить основные характеристики бюджета Новоузенского муниципального района на 2025 год и на плановый период 2026 и 2027 годов:</w:t>
      </w:r>
    </w:p>
    <w:p w14:paraId="6DBF0B14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2025 год:</w:t>
      </w:r>
    </w:p>
    <w:p w14:paraId="5518E2D2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964 777,8 тыс. рублей; </w:t>
      </w:r>
    </w:p>
    <w:p w14:paraId="36C2632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989 435,0 тыс. рублей;</w:t>
      </w:r>
    </w:p>
    <w:p w14:paraId="5A620F2E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24 657,1 тыс. рублей, или 13,9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14:paraId="7EED2CE7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14:paraId="6BE087E9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2026 год:</w:t>
      </w:r>
    </w:p>
    <w:p w14:paraId="1FCAE85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886 771,2 тыс. рублей; </w:t>
      </w:r>
    </w:p>
    <w:p w14:paraId="4640EEDB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886 771,2 тыс. рублей, в том числе условно утвержденные расходы в сумме 11 179,0 тыс. рублей;</w:t>
      </w:r>
    </w:p>
    <w:p w14:paraId="441834CE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14:paraId="6FAE963B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14:paraId="17C635A5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2027 год:</w:t>
      </w:r>
    </w:p>
    <w:p w14:paraId="2A04B71C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1 038 794,8 тыс. рублей; </w:t>
      </w:r>
    </w:p>
    <w:p w14:paraId="11F1818B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1 038 794,8 тыс. рублей, в том числе условно утвержденные расходы в сумме 23 207,6 тыс. рублей;</w:t>
      </w:r>
    </w:p>
    <w:p w14:paraId="7903793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14:paraId="154D9337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2028 года в размере 0,0 тыс. рублей, в том числе верхний предел долга по муниципальным гарантиям в размере 0,0 тыс. рублей.</w:t>
      </w:r>
    </w:p>
    <w:p w14:paraId="5C1557DB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2. Утвердить безвозмездные поступления от бюджетов других уровней бюджетной системы РФ в бюджет Новоузенского муниципального района на 2025 год и на плановый период 2026 и 2027 годов согласно приложению 1.</w:t>
      </w:r>
    </w:p>
    <w:p w14:paraId="39D85336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3. Утвердить на 2025 год и на плановый период 2026 и 2027 годов:</w:t>
      </w:r>
    </w:p>
    <w:p w14:paraId="3AFD129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нормативы распределения доходов между бюджетом Новоузенского муниципального района и бюджетами поселений </w:t>
      </w:r>
      <w:r>
        <w:rPr>
          <w:rFonts w:ascii="Tempora LGC Uni" w:hAnsi="Tempora LGC Uni" w:cs="Times New Roman"/>
          <w:bCs/>
          <w:sz w:val="28"/>
          <w:szCs w:val="28"/>
        </w:rPr>
        <w:t>на 2025 год и на плановый период 2026 и 2027 годов</w:t>
      </w:r>
      <w:r>
        <w:rPr>
          <w:rFonts w:ascii="Tempora LGC Uni" w:hAnsi="Tempora LGC Uni" w:cs="Times New Roman"/>
          <w:sz w:val="28"/>
          <w:szCs w:val="28"/>
        </w:rPr>
        <w:t xml:space="preserve"> согласно приложению 2.</w:t>
      </w:r>
    </w:p>
    <w:p w14:paraId="19BFDC44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уполномоченные органы:</w:t>
      </w:r>
    </w:p>
    <w:p w14:paraId="7071DE43" w14:textId="77777777" w:rsidR="00304D25" w:rsidRDefault="00F67AE5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Финансовое управление администрации Новоузенского муниципального района;</w:t>
      </w:r>
    </w:p>
    <w:p w14:paraId="5B68AE11" w14:textId="77777777" w:rsidR="00304D25" w:rsidRDefault="00F67AE5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Администрация Новоузенского муниципального района.</w:t>
      </w:r>
    </w:p>
    <w:p w14:paraId="59EABA96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5. Установить, что в 2025 году в соответствии со статьей 242</w:t>
      </w:r>
      <w:r>
        <w:rPr>
          <w:rFonts w:ascii="Tempora LGC Uni" w:hAnsi="Tempora LGC Uni"/>
          <w:sz w:val="28"/>
          <w:szCs w:val="28"/>
          <w:vertAlign w:val="superscript"/>
        </w:rPr>
        <w:t>26</w:t>
      </w:r>
      <w:r>
        <w:rPr>
          <w:rFonts w:ascii="Tempora LGC Uni" w:hAnsi="Tempora LGC Uni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средства бюджета Новоузенского муниципального района:</w:t>
      </w:r>
    </w:p>
    <w:p w14:paraId="1D04E25D" w14:textId="77777777" w:rsidR="00304D25" w:rsidRDefault="00F67AE5">
      <w:pPr>
        <w:pStyle w:val="aff5"/>
        <w:ind w:firstLine="567"/>
        <w:rPr>
          <w:rFonts w:ascii="Tempora LGC Uni" w:hAnsi="Tempora LGC Uni"/>
          <w:szCs w:val="28"/>
        </w:rPr>
      </w:pPr>
      <w:r>
        <w:rPr>
          <w:rFonts w:ascii="Tempora LGC Uni" w:hAnsi="Tempora LGC Uni"/>
          <w:szCs w:val="28"/>
        </w:rPr>
        <w:t xml:space="preserve"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</w:t>
      </w:r>
      <w:r>
        <w:rPr>
          <w:rFonts w:ascii="Tempora LGC Uni" w:hAnsi="Tempora LGC Uni"/>
          <w:szCs w:val="28"/>
        </w:rPr>
        <w:lastRenderedPageBreak/>
        <w:t>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5F6CC367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hAnsi="Tempora LGC Uni"/>
          <w:sz w:val="28"/>
          <w:szCs w:val="28"/>
          <w:vertAlign w:val="superscript"/>
        </w:rPr>
        <w:t>2</w:t>
      </w:r>
      <w:r>
        <w:rPr>
          <w:rFonts w:ascii="Tempora LGC Uni" w:hAnsi="Tempora LGC Uni"/>
          <w:sz w:val="28"/>
          <w:szCs w:val="28"/>
        </w:rPr>
        <w:t xml:space="preserve"> Бюджетного кодекса Российской Федерации.</w:t>
      </w:r>
    </w:p>
    <w:p w14:paraId="6A913A68" w14:textId="77777777" w:rsidR="00304D25" w:rsidRDefault="00F67AE5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6. Утвердить размер резервного фонда администрации Новоузенского муниципального района на 2025 год в сумме 100,0 тыс. рублей, на 2026 год в сумме 100,0 тыс. рублей и на 2027 год в сумме 100,0 тыс. рублей.</w:t>
      </w:r>
    </w:p>
    <w:p w14:paraId="607A888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7. Утвердить на 2025 год и на плановый период 2026 и 2027 годов:</w:t>
      </w:r>
    </w:p>
    <w:p w14:paraId="57D3F689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14:paraId="79A5C3A7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4 987,8 тыс. рублей;</w:t>
      </w:r>
    </w:p>
    <w:p w14:paraId="674FCE5C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5 039,2 тыс. рублей;</w:t>
      </w:r>
    </w:p>
    <w:p w14:paraId="7BAC807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5 117,6 тыс. рублей.</w:t>
      </w:r>
    </w:p>
    <w:p w14:paraId="23C8C499" w14:textId="77777777" w:rsidR="00304D25" w:rsidRDefault="00F67AE5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объем бюджетных ассигнований муниципального дорожного фонда:</w:t>
      </w:r>
    </w:p>
    <w:p w14:paraId="682AEF21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57 907,5 тыс. рублей;</w:t>
      </w:r>
    </w:p>
    <w:p w14:paraId="5224C51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59 109,8 тыс. рублей;</w:t>
      </w:r>
    </w:p>
    <w:p w14:paraId="67AADA9A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61 227,5 тыс. рублей.</w:t>
      </w:r>
    </w:p>
    <w:p w14:paraId="20912375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2025 год согласно приложению 3;</w:t>
      </w:r>
    </w:p>
    <w:p w14:paraId="7B0A0D5A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плановый период 2026 и 2027 годов согласно приложению 3.1;</w:t>
      </w:r>
    </w:p>
    <w:p w14:paraId="4BAF2B55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 согласно приложению 4;</w:t>
      </w:r>
    </w:p>
    <w:p w14:paraId="1A1E3C9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 согласно приложению 4.1;</w:t>
      </w:r>
    </w:p>
    <w:p w14:paraId="1508199F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 согласно приложению 5;</w:t>
      </w:r>
    </w:p>
    <w:p w14:paraId="72CBA048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- 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 согласно приложению 5.1;</w:t>
      </w:r>
    </w:p>
    <w:p w14:paraId="08D0DADA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bookmarkStart w:id="1" w:name="OLE_LINK11"/>
      <w:bookmarkStart w:id="2" w:name="OLE_LINK12"/>
      <w:r>
        <w:rPr>
          <w:rFonts w:ascii="Tempora LGC Uni" w:hAnsi="Tempora LGC Uni" w:cs="Times New Roman"/>
          <w:sz w:val="28"/>
          <w:szCs w:val="28"/>
        </w:rPr>
        <w:t>8. Утвердить на 2025 год и на плановый период 2026 и 2027 годов межбюджетные трансферты, предоставляемые из бюджета Новоузенского муниципального района бюджетам поселений</w:t>
      </w:r>
      <w:bookmarkEnd w:id="1"/>
      <w:bookmarkEnd w:id="2"/>
      <w:r>
        <w:rPr>
          <w:rFonts w:ascii="Tempora LGC Uni" w:hAnsi="Tempora LGC Uni" w:cs="Times New Roman"/>
          <w:sz w:val="28"/>
          <w:szCs w:val="28"/>
        </w:rPr>
        <w:t>, в следующих формах:</w:t>
      </w:r>
    </w:p>
    <w:p w14:paraId="4F6897D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14:paraId="7A96DBB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1 751,3 тыс. рублей;</w:t>
      </w:r>
    </w:p>
    <w:p w14:paraId="0878D56E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1 824,6 тыс. рублей;</w:t>
      </w:r>
    </w:p>
    <w:p w14:paraId="1EA08281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1 903,7 тыс. рублей.</w:t>
      </w:r>
    </w:p>
    <w:p w14:paraId="0EBB426B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14:paraId="40EFB526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3 948,6 тыс. рублей;</w:t>
      </w:r>
    </w:p>
    <w:p w14:paraId="4705481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4 178,7 тыс. рублей;</w:t>
      </w:r>
    </w:p>
    <w:p w14:paraId="30AACF81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4 385,3 тыс. рублей.</w:t>
      </w:r>
    </w:p>
    <w:p w14:paraId="23E75019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9. Утвердить на 2025 год и на плановый период 2026 и 2027 годов:</w:t>
      </w:r>
    </w:p>
    <w:p w14:paraId="7BF88673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источники финансирования дефицита бюджета Новоузенского муниципального района согласно приложению 8;</w:t>
      </w:r>
    </w:p>
    <w:p w14:paraId="084AF2E6" w14:textId="77777777" w:rsidR="00304D25" w:rsidRDefault="00F67AE5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10. </w:t>
      </w:r>
      <w:r>
        <w:rPr>
          <w:rFonts w:ascii="Tempora LGC Uni" w:hAnsi="Tempora LGC Uni"/>
          <w:sz w:val="28"/>
          <w:szCs w:val="28"/>
        </w:rPr>
        <w:t>В бюджет Новоузенского муниципального района в 2025 году и на плановый период 2026 и 2027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</w:p>
    <w:p w14:paraId="3E55249E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11.Настоящее решение вступает в силу с 1 января 2025 года и подлежит обязательному опубликованию.</w:t>
      </w:r>
    </w:p>
    <w:p w14:paraId="636A8AAD" w14:textId="77777777" w:rsidR="00304D25" w:rsidRDefault="00F67AE5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12.</w:t>
      </w:r>
      <w:r>
        <w:rPr>
          <w:rFonts w:ascii="Tempora LGC Uni" w:hAnsi="Tempora LGC Uni" w:cs="Times New Roman"/>
          <w:b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 xml:space="preserve"> Контроль за исполнением настоящего решения возложить на председателя комиссии по бюджетно-финансовым вопросам, использованию муниципальной собственности, экономике и инвестиционной политике Гуськова А.С.</w:t>
      </w:r>
    </w:p>
    <w:tbl>
      <w:tblPr>
        <w:tblW w:w="9003" w:type="dxa"/>
        <w:jc w:val="center"/>
        <w:tblLayout w:type="fixed"/>
        <w:tblLook w:val="04A0" w:firstRow="1" w:lastRow="0" w:firstColumn="1" w:lastColumn="0" w:noHBand="0" w:noVBand="1"/>
      </w:tblPr>
      <w:tblGrid>
        <w:gridCol w:w="4503"/>
        <w:gridCol w:w="4500"/>
      </w:tblGrid>
      <w:tr w:rsidR="00304D25" w14:paraId="07343A37" w14:textId="77777777" w:rsidTr="00D3767E">
        <w:trPr>
          <w:jc w:val="center"/>
        </w:trPr>
        <w:tc>
          <w:tcPr>
            <w:tcW w:w="4503" w:type="dxa"/>
          </w:tcPr>
          <w:p w14:paraId="69DE0EEE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Председатель</w:t>
            </w:r>
          </w:p>
          <w:p w14:paraId="06EFAEFC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Собрания Новоузенского</w:t>
            </w:r>
          </w:p>
          <w:p w14:paraId="3418A9F4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муниципального района</w:t>
            </w:r>
          </w:p>
          <w:p w14:paraId="313CB628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  <w:p w14:paraId="0124DF12" w14:textId="77777777" w:rsidR="00304D25" w:rsidRDefault="00304D25">
            <w:pPr>
              <w:spacing w:after="0" w:line="240" w:lineRule="auto"/>
              <w:jc w:val="center"/>
              <w:rPr>
                <w:rFonts w:ascii="Tempora LGC Uni" w:hAnsi="Tempora LGC Uni"/>
                <w:bCs/>
                <w:sz w:val="28"/>
                <w:szCs w:val="28"/>
              </w:rPr>
            </w:pPr>
          </w:p>
        </w:tc>
        <w:tc>
          <w:tcPr>
            <w:tcW w:w="4500" w:type="dxa"/>
          </w:tcPr>
          <w:p w14:paraId="7E8E7467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Глава</w:t>
            </w:r>
          </w:p>
          <w:p w14:paraId="3A147C78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Новоузенского муниципального</w:t>
            </w:r>
          </w:p>
          <w:p w14:paraId="3EF7DFEF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района</w:t>
            </w:r>
          </w:p>
          <w:p w14:paraId="4656B395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</w:tc>
      </w:tr>
      <w:tr w:rsidR="00304D25" w14:paraId="72D9F2B6" w14:textId="77777777" w:rsidTr="00D3767E">
        <w:trPr>
          <w:jc w:val="center"/>
        </w:trPr>
        <w:tc>
          <w:tcPr>
            <w:tcW w:w="4503" w:type="dxa"/>
          </w:tcPr>
          <w:p w14:paraId="79AA16B6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empora LGC Uni" w:hAnsi="Tempora LGC Uni"/>
                <w:bCs/>
                <w:sz w:val="28"/>
                <w:szCs w:val="28"/>
              </w:rPr>
              <w:t>Д.А.Дорофеев</w:t>
            </w:r>
            <w:proofErr w:type="spellEnd"/>
          </w:p>
        </w:tc>
        <w:tc>
          <w:tcPr>
            <w:tcW w:w="4500" w:type="dxa"/>
          </w:tcPr>
          <w:p w14:paraId="0D362FF1" w14:textId="77777777" w:rsidR="00304D25" w:rsidRDefault="00F67AE5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sz w:val="28"/>
                <w:szCs w:val="28"/>
              </w:rPr>
              <w:t>А.А.Опалько</w:t>
            </w:r>
            <w:proofErr w:type="spellEnd"/>
          </w:p>
        </w:tc>
      </w:tr>
    </w:tbl>
    <w:p w14:paraId="4F5321E4" w14:textId="77777777" w:rsidR="00304D25" w:rsidRDefault="00304D25" w:rsidP="00D3767E">
      <w:pPr>
        <w:rPr>
          <w:rFonts w:ascii="Tempora LGC Uni" w:hAnsi="Tempora LGC Uni" w:cs="Tempora LGC Uni"/>
          <w:b/>
          <w:bCs/>
          <w:sz w:val="20"/>
          <w:szCs w:val="20"/>
        </w:rPr>
      </w:pPr>
    </w:p>
    <w:sectPr w:rsidR="00304D25">
      <w:pgSz w:w="11906" w:h="16838"/>
      <w:pgMar w:top="567" w:right="850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BDA4B" w14:textId="77777777" w:rsidR="00304D25" w:rsidRDefault="00F67AE5">
      <w:pPr>
        <w:spacing w:after="0" w:line="240" w:lineRule="auto"/>
      </w:pPr>
      <w:r>
        <w:separator/>
      </w:r>
    </w:p>
  </w:endnote>
  <w:endnote w:type="continuationSeparator" w:id="0">
    <w:p w14:paraId="5C485C07" w14:textId="77777777" w:rsidR="00304D25" w:rsidRDefault="00F6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ora LGC Uni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667F9" w14:textId="77777777" w:rsidR="00304D25" w:rsidRDefault="00F67AE5">
      <w:pPr>
        <w:spacing w:after="0" w:line="240" w:lineRule="auto"/>
      </w:pPr>
      <w:r>
        <w:separator/>
      </w:r>
    </w:p>
  </w:footnote>
  <w:footnote w:type="continuationSeparator" w:id="0">
    <w:p w14:paraId="7F561B14" w14:textId="77777777" w:rsidR="00304D25" w:rsidRDefault="00F67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25"/>
    <w:rsid w:val="00304D25"/>
    <w:rsid w:val="00CA4B1A"/>
    <w:rsid w:val="00D3767E"/>
    <w:rsid w:val="00F6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1A22"/>
  <w15:docId w15:val="{58C50315-3DF4-46D2-9076-95F170B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ahoma" w:hAnsi="Times New Roman" w:cs="Lohit Devanagari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1">
    <w:name w:val="heading 1"/>
    <w:basedOn w:val="a"/>
    <w:qFormat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uiPriority w:val="9"/>
    <w:qFormat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qFormat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11">
    <w:name w:val="Заголовок 1 Знак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0">
    <w:name w:val="Заголовок 8 Знак"/>
    <w:basedOn w:val="a0"/>
    <w:qFormat/>
    <w:rPr>
      <w:i/>
      <w:iCs/>
      <w:sz w:val="24"/>
      <w:szCs w:val="24"/>
    </w:rPr>
  </w:style>
  <w:style w:type="character" w:customStyle="1" w:styleId="ab">
    <w:name w:val="Название Знак"/>
    <w:basedOn w:val="a0"/>
    <w:qFormat/>
    <w:rPr>
      <w:sz w:val="28"/>
      <w:szCs w:val="24"/>
    </w:rPr>
  </w:style>
  <w:style w:type="character" w:customStyle="1" w:styleId="ac">
    <w:name w:val="Подзаголовок Знак"/>
    <w:basedOn w:val="a0"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character" w:customStyle="1" w:styleId="41">
    <w:name w:val="Заголовок 4 Знак"/>
    <w:basedOn w:val="a0"/>
    <w:uiPriority w:val="9"/>
    <w:qFormat/>
    <w:rPr>
      <w:b/>
      <w:bCs/>
      <w:sz w:val="24"/>
      <w:szCs w:val="24"/>
    </w:rPr>
  </w:style>
  <w:style w:type="character" w:customStyle="1" w:styleId="21">
    <w:name w:val="Основной текст (2)_"/>
    <w:basedOn w:val="a0"/>
    <w:qFormat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22">
    <w:name w:val="Заголовок 2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">
    <w:name w:val="Заголовок 3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</w:style>
  <w:style w:type="character" w:customStyle="1" w:styleId="hl">
    <w:name w:val="hl"/>
    <w:basedOn w:val="a0"/>
    <w:qFormat/>
  </w:style>
  <w:style w:type="character" w:customStyle="1" w:styleId="prod">
    <w:name w:val="prod"/>
    <w:basedOn w:val="a0"/>
    <w:qFormat/>
  </w:style>
  <w:style w:type="character" w:customStyle="1" w:styleId="portion">
    <w:name w:val="portion"/>
    <w:basedOn w:val="a0"/>
    <w:qFormat/>
  </w:style>
  <w:style w:type="character" w:customStyle="1" w:styleId="title1">
    <w:name w:val="title1"/>
    <w:basedOn w:val="a0"/>
    <w:qFormat/>
  </w:style>
  <w:style w:type="character" w:customStyle="1" w:styleId="rcp">
    <w:name w:val="rcp"/>
    <w:basedOn w:val="a0"/>
    <w:qFormat/>
  </w:style>
  <w:style w:type="character" w:customStyle="1" w:styleId="ae">
    <w:name w:val="Абзац списка Знак"/>
    <w:uiPriority w:val="34"/>
    <w:qFormat/>
    <w:rPr>
      <w:sz w:val="28"/>
    </w:rPr>
  </w:style>
  <w:style w:type="paragraph" w:styleId="af">
    <w:name w:val="Title"/>
    <w:basedOn w:val="a"/>
    <w:next w:val="af0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f"/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8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9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4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pPr>
      <w:spacing w:after="0"/>
    </w:pPr>
  </w:style>
  <w:style w:type="paragraph" w:styleId="afc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d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Subtitle"/>
    <w:basedOn w:val="a"/>
    <w:qFormat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0">
    <w:name w:val="No Spacing"/>
    <w:uiPriority w:val="1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5">
    <w:name w:val="Основной текст (2)"/>
    <w:basedOn w:val="a"/>
    <w:qFormat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1">
    <w:name w:val="Текст документа"/>
    <w:basedOn w:val="a"/>
    <w:qFormat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2">
    <w:name w:val="Содержимое таблицы"/>
    <w:basedOn w:val="a"/>
    <w:qFormat/>
    <w:pPr>
      <w:ind w:firstLine="720"/>
    </w:pPr>
    <w:rPr>
      <w:color w:val="000000"/>
    </w:rPr>
  </w:style>
  <w:style w:type="paragraph" w:customStyle="1" w:styleId="aff3">
    <w:name w:val="Заголовок таблицы"/>
    <w:basedOn w:val="aff2"/>
    <w:qFormat/>
    <w:pPr>
      <w:suppressLineNumbers/>
      <w:jc w:val="center"/>
    </w:pPr>
    <w:rPr>
      <w:b/>
      <w:bCs/>
    </w:rPr>
  </w:style>
  <w:style w:type="paragraph" w:customStyle="1" w:styleId="aff4">
    <w:name w:val="Íàçâàíèå çàêîíà"/>
    <w:basedOn w:val="a"/>
    <w:qFormat/>
    <w:pPr>
      <w:spacing w:after="480"/>
      <w:jc w:val="center"/>
    </w:pPr>
    <w:rPr>
      <w:b/>
      <w:sz w:val="36"/>
    </w:rPr>
  </w:style>
  <w:style w:type="paragraph" w:customStyle="1" w:styleId="aff5">
    <w:name w:val="Òåêñò äîêóìåíòà"/>
    <w:basedOn w:val="a"/>
    <w:qFormat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Нина В. Кочегарова</cp:lastModifiedBy>
  <cp:revision>3</cp:revision>
  <dcterms:created xsi:type="dcterms:W3CDTF">2025-04-09T07:00:00Z</dcterms:created>
  <dcterms:modified xsi:type="dcterms:W3CDTF">2025-04-10T10:46:00Z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